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FA" w:rsidRPr="002807A5" w:rsidRDefault="005D7FFA" w:rsidP="005D7FFA">
      <w:pPr>
        <w:jc w:val="center"/>
        <w:rPr>
          <w:rFonts w:ascii="標楷體" w:eastAsia="標楷體" w:hAnsi="標楷體"/>
          <w:sz w:val="32"/>
          <w:szCs w:val="32"/>
        </w:rPr>
      </w:pPr>
      <w:r w:rsidRPr="002807A5">
        <w:rPr>
          <w:rFonts w:ascii="標楷體" w:eastAsia="標楷體" w:hAnsi="標楷體" w:hint="eastAsia"/>
          <w:sz w:val="32"/>
          <w:szCs w:val="32"/>
        </w:rPr>
        <w:t xml:space="preserve">國立中山大學管理學院 </w:t>
      </w:r>
      <w:r w:rsidRPr="002807A5">
        <w:rPr>
          <w:rFonts w:ascii="標楷體" w:eastAsia="標楷體" w:hAnsi="標楷體"/>
          <w:sz w:val="32"/>
          <w:szCs w:val="32"/>
        </w:rPr>
        <w:t>學術研究績優教師</w:t>
      </w:r>
      <w:r w:rsidRPr="002807A5">
        <w:rPr>
          <w:rFonts w:ascii="標楷體" w:eastAsia="標楷體" w:hAnsi="標楷體" w:hint="eastAsia"/>
          <w:sz w:val="32"/>
          <w:szCs w:val="32"/>
        </w:rPr>
        <w:t>審查要點</w:t>
      </w:r>
    </w:p>
    <w:p w:rsidR="005D7FFA" w:rsidRPr="008A12D1" w:rsidRDefault="005D7FFA" w:rsidP="005D7FFA">
      <w:pPr>
        <w:spacing w:line="260" w:lineRule="exact"/>
        <w:jc w:val="right"/>
        <w:rPr>
          <w:rFonts w:eastAsia="標楷體"/>
          <w:sz w:val="20"/>
          <w:szCs w:val="20"/>
        </w:rPr>
      </w:pPr>
      <w:r w:rsidRPr="008A12D1">
        <w:rPr>
          <w:rFonts w:eastAsia="標楷體"/>
          <w:sz w:val="20"/>
          <w:szCs w:val="20"/>
        </w:rPr>
        <w:t>100.4.19</w:t>
      </w:r>
      <w:r>
        <w:rPr>
          <w:rFonts w:eastAsia="標楷體" w:hint="eastAsia"/>
          <w:sz w:val="20"/>
          <w:szCs w:val="20"/>
        </w:rPr>
        <w:t xml:space="preserve">  </w:t>
      </w:r>
      <w:r w:rsidRPr="008A12D1">
        <w:rPr>
          <w:rFonts w:eastAsia="標楷體"/>
          <w:sz w:val="20"/>
          <w:szCs w:val="20"/>
        </w:rPr>
        <w:t>99</w:t>
      </w:r>
      <w:r w:rsidRPr="008A12D1">
        <w:rPr>
          <w:rFonts w:eastAsia="標楷體"/>
          <w:sz w:val="20"/>
          <w:szCs w:val="20"/>
        </w:rPr>
        <w:t>學年度第</w:t>
      </w:r>
      <w:r w:rsidRPr="008A12D1">
        <w:rPr>
          <w:rFonts w:eastAsia="標楷體"/>
          <w:sz w:val="20"/>
          <w:szCs w:val="20"/>
        </w:rPr>
        <w:t>4</w:t>
      </w:r>
      <w:r w:rsidRPr="008A12D1">
        <w:rPr>
          <w:rFonts w:eastAsia="標楷體"/>
          <w:sz w:val="20"/>
          <w:szCs w:val="20"/>
        </w:rPr>
        <w:t>次院務會議通過</w:t>
      </w:r>
    </w:p>
    <w:p w:rsidR="005D7FFA" w:rsidRPr="00362C0E" w:rsidRDefault="005D7FFA" w:rsidP="005D7FFA">
      <w:pPr>
        <w:spacing w:line="26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362C0E">
        <w:rPr>
          <w:rFonts w:eastAsia="標楷體"/>
          <w:color w:val="000000" w:themeColor="text1"/>
          <w:sz w:val="20"/>
          <w:szCs w:val="20"/>
        </w:rPr>
        <w:t>103.10.16</w:t>
      </w:r>
      <w:r w:rsidRPr="00362C0E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362C0E">
        <w:rPr>
          <w:rFonts w:eastAsia="標楷體"/>
          <w:color w:val="000000" w:themeColor="text1"/>
          <w:sz w:val="20"/>
          <w:szCs w:val="20"/>
        </w:rPr>
        <w:t xml:space="preserve"> </w:t>
      </w:r>
      <w:r w:rsidRPr="00362C0E">
        <w:rPr>
          <w:rFonts w:eastAsia="標楷體"/>
          <w:color w:val="000000" w:themeColor="text1"/>
          <w:sz w:val="20"/>
          <w:szCs w:val="20"/>
        </w:rPr>
        <w:t>本校第</w:t>
      </w:r>
      <w:r w:rsidRPr="00362C0E">
        <w:rPr>
          <w:rFonts w:eastAsia="標楷體"/>
          <w:color w:val="000000" w:themeColor="text1"/>
          <w:sz w:val="20"/>
          <w:szCs w:val="20"/>
        </w:rPr>
        <w:t>363</w:t>
      </w:r>
      <w:r w:rsidRPr="00362C0E">
        <w:rPr>
          <w:rFonts w:eastAsia="標楷體"/>
          <w:color w:val="000000" w:themeColor="text1"/>
          <w:sz w:val="20"/>
          <w:szCs w:val="20"/>
        </w:rPr>
        <w:t>次教師評審委員會修正通過</w:t>
      </w:r>
    </w:p>
    <w:p w:rsidR="005D7FFA" w:rsidRDefault="005D7FFA" w:rsidP="005D7FFA">
      <w:pPr>
        <w:spacing w:line="26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362C0E">
        <w:rPr>
          <w:rFonts w:eastAsia="標楷體"/>
          <w:color w:val="000000" w:themeColor="text1"/>
          <w:sz w:val="20"/>
          <w:szCs w:val="20"/>
        </w:rPr>
        <w:t>10</w:t>
      </w:r>
      <w:r w:rsidRPr="00362C0E">
        <w:rPr>
          <w:rFonts w:eastAsia="標楷體" w:hint="eastAsia"/>
          <w:color w:val="000000" w:themeColor="text1"/>
          <w:sz w:val="20"/>
          <w:szCs w:val="20"/>
        </w:rPr>
        <w:t>3</w:t>
      </w:r>
      <w:r w:rsidRPr="00362C0E">
        <w:rPr>
          <w:rFonts w:eastAsia="標楷體"/>
          <w:color w:val="000000" w:themeColor="text1"/>
          <w:sz w:val="20"/>
          <w:szCs w:val="20"/>
        </w:rPr>
        <w:t>.</w:t>
      </w:r>
      <w:r w:rsidRPr="00362C0E">
        <w:rPr>
          <w:rFonts w:eastAsia="標楷體" w:hint="eastAsia"/>
          <w:color w:val="000000" w:themeColor="text1"/>
          <w:sz w:val="20"/>
          <w:szCs w:val="20"/>
        </w:rPr>
        <w:t>12</w:t>
      </w:r>
      <w:r w:rsidRPr="00362C0E">
        <w:rPr>
          <w:rFonts w:eastAsia="標楷體"/>
          <w:color w:val="000000" w:themeColor="text1"/>
          <w:sz w:val="20"/>
          <w:szCs w:val="20"/>
        </w:rPr>
        <w:t>.</w:t>
      </w:r>
      <w:r w:rsidRPr="00362C0E">
        <w:rPr>
          <w:rFonts w:eastAsia="標楷體" w:hint="eastAsia"/>
          <w:color w:val="000000" w:themeColor="text1"/>
          <w:sz w:val="20"/>
          <w:szCs w:val="20"/>
        </w:rPr>
        <w:t>0</w:t>
      </w:r>
      <w:r w:rsidRPr="00362C0E">
        <w:rPr>
          <w:rFonts w:eastAsia="標楷體"/>
          <w:color w:val="000000" w:themeColor="text1"/>
          <w:sz w:val="20"/>
          <w:szCs w:val="20"/>
        </w:rPr>
        <w:t xml:space="preserve">9 </w:t>
      </w:r>
      <w:r w:rsidRPr="00362C0E">
        <w:rPr>
          <w:rFonts w:eastAsia="標楷體" w:hint="eastAsia"/>
          <w:color w:val="000000" w:themeColor="text1"/>
          <w:sz w:val="20"/>
          <w:szCs w:val="20"/>
        </w:rPr>
        <w:t xml:space="preserve"> 103</w:t>
      </w:r>
      <w:r w:rsidRPr="00362C0E">
        <w:rPr>
          <w:rFonts w:eastAsia="標楷體"/>
          <w:color w:val="000000" w:themeColor="text1"/>
          <w:sz w:val="20"/>
          <w:szCs w:val="20"/>
        </w:rPr>
        <w:t>學年度第</w:t>
      </w:r>
      <w:r w:rsidRPr="00362C0E">
        <w:rPr>
          <w:rFonts w:eastAsia="標楷體" w:hint="eastAsia"/>
          <w:color w:val="000000" w:themeColor="text1"/>
          <w:sz w:val="20"/>
          <w:szCs w:val="20"/>
        </w:rPr>
        <w:t>2</w:t>
      </w:r>
      <w:r w:rsidRPr="00362C0E">
        <w:rPr>
          <w:rFonts w:eastAsia="標楷體"/>
          <w:color w:val="000000" w:themeColor="text1"/>
          <w:sz w:val="20"/>
          <w:szCs w:val="20"/>
        </w:rPr>
        <w:t>次院務會議</w:t>
      </w:r>
      <w:r w:rsidRPr="00362C0E">
        <w:rPr>
          <w:rFonts w:eastAsia="標楷體" w:hint="eastAsia"/>
          <w:color w:val="000000" w:themeColor="text1"/>
          <w:sz w:val="20"/>
          <w:szCs w:val="20"/>
        </w:rPr>
        <w:t>修正</w:t>
      </w:r>
      <w:r w:rsidRPr="00362C0E">
        <w:rPr>
          <w:rFonts w:eastAsia="標楷體"/>
          <w:color w:val="000000" w:themeColor="text1"/>
          <w:sz w:val="20"/>
          <w:szCs w:val="20"/>
        </w:rPr>
        <w:t>通過</w:t>
      </w:r>
    </w:p>
    <w:p w:rsidR="005D7FFA" w:rsidRDefault="005D7FFA" w:rsidP="005D7FFA">
      <w:pPr>
        <w:spacing w:line="26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865C89">
        <w:rPr>
          <w:rFonts w:eastAsia="標楷體"/>
          <w:color w:val="000000" w:themeColor="text1"/>
          <w:sz w:val="20"/>
          <w:szCs w:val="20"/>
        </w:rPr>
        <w:t>105.</w:t>
      </w:r>
      <w:r w:rsidRPr="00865C89">
        <w:rPr>
          <w:rFonts w:eastAsia="標楷體" w:hint="eastAsia"/>
          <w:color w:val="000000" w:themeColor="text1"/>
          <w:sz w:val="20"/>
          <w:szCs w:val="20"/>
        </w:rPr>
        <w:t>4</w:t>
      </w:r>
      <w:r w:rsidRPr="00865C89">
        <w:rPr>
          <w:rFonts w:eastAsia="標楷體"/>
          <w:color w:val="000000" w:themeColor="text1"/>
          <w:sz w:val="20"/>
          <w:szCs w:val="20"/>
        </w:rPr>
        <w:t>.</w:t>
      </w:r>
      <w:r w:rsidRPr="00865C89">
        <w:rPr>
          <w:rFonts w:eastAsia="標楷體" w:hint="eastAsia"/>
          <w:color w:val="000000" w:themeColor="text1"/>
          <w:sz w:val="20"/>
          <w:szCs w:val="20"/>
        </w:rPr>
        <w:t>2</w:t>
      </w:r>
      <w:r w:rsidRPr="00865C89">
        <w:rPr>
          <w:rFonts w:eastAsia="標楷體"/>
          <w:color w:val="000000" w:themeColor="text1"/>
          <w:sz w:val="20"/>
          <w:szCs w:val="20"/>
        </w:rPr>
        <w:t>6</w:t>
      </w:r>
      <w:r w:rsidRPr="00865C89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865C89">
        <w:rPr>
          <w:rFonts w:eastAsia="標楷體"/>
          <w:color w:val="000000" w:themeColor="text1"/>
          <w:sz w:val="20"/>
          <w:szCs w:val="20"/>
        </w:rPr>
        <w:t xml:space="preserve"> </w:t>
      </w:r>
      <w:r w:rsidRPr="00865C89">
        <w:rPr>
          <w:rFonts w:eastAsia="標楷體" w:hint="eastAsia"/>
          <w:color w:val="000000" w:themeColor="text1"/>
          <w:sz w:val="20"/>
          <w:szCs w:val="20"/>
        </w:rPr>
        <w:t>10</w:t>
      </w:r>
      <w:r w:rsidRPr="00865C89">
        <w:rPr>
          <w:rFonts w:eastAsia="標楷體"/>
          <w:color w:val="000000" w:themeColor="text1"/>
          <w:sz w:val="20"/>
          <w:szCs w:val="20"/>
        </w:rPr>
        <w:t>4</w:t>
      </w:r>
      <w:r w:rsidRPr="00865C89">
        <w:rPr>
          <w:rFonts w:eastAsia="標楷體"/>
          <w:color w:val="000000" w:themeColor="text1"/>
          <w:sz w:val="20"/>
          <w:szCs w:val="20"/>
        </w:rPr>
        <w:t>學年度第</w:t>
      </w:r>
      <w:r w:rsidRPr="00865C89">
        <w:rPr>
          <w:rFonts w:eastAsia="標楷體"/>
          <w:color w:val="000000" w:themeColor="text1"/>
          <w:sz w:val="20"/>
          <w:szCs w:val="20"/>
        </w:rPr>
        <w:t>4</w:t>
      </w:r>
      <w:r w:rsidRPr="00865C89">
        <w:rPr>
          <w:rFonts w:eastAsia="標楷體"/>
          <w:color w:val="000000" w:themeColor="text1"/>
          <w:sz w:val="20"/>
          <w:szCs w:val="20"/>
        </w:rPr>
        <w:t>次</w:t>
      </w:r>
      <w:r w:rsidRPr="00865C89">
        <w:rPr>
          <w:rFonts w:eastAsia="標楷體" w:hint="eastAsia"/>
          <w:color w:val="000000" w:themeColor="text1"/>
          <w:sz w:val="20"/>
          <w:szCs w:val="20"/>
        </w:rPr>
        <w:t>院</w:t>
      </w:r>
      <w:r w:rsidRPr="00865C89">
        <w:rPr>
          <w:rFonts w:eastAsia="標楷體"/>
          <w:color w:val="000000" w:themeColor="text1"/>
          <w:sz w:val="20"/>
          <w:szCs w:val="20"/>
        </w:rPr>
        <w:t>務會議</w:t>
      </w:r>
      <w:r w:rsidRPr="00865C89">
        <w:rPr>
          <w:rFonts w:eastAsia="標楷體" w:hint="eastAsia"/>
          <w:color w:val="000000" w:themeColor="text1"/>
          <w:sz w:val="20"/>
          <w:szCs w:val="20"/>
        </w:rPr>
        <w:t>修正</w:t>
      </w:r>
      <w:r w:rsidRPr="00865C89">
        <w:rPr>
          <w:rFonts w:eastAsia="標楷體"/>
          <w:color w:val="000000" w:themeColor="text1"/>
          <w:sz w:val="20"/>
          <w:szCs w:val="20"/>
        </w:rPr>
        <w:t>通過</w:t>
      </w:r>
    </w:p>
    <w:p w:rsidR="005D7FFA" w:rsidRPr="00865C89" w:rsidRDefault="005D7FFA" w:rsidP="005D7FFA">
      <w:pPr>
        <w:wordWrap w:val="0"/>
        <w:spacing w:line="260" w:lineRule="exact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107.05.08  106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次院務會議修正通過</w:t>
      </w:r>
    </w:p>
    <w:p w:rsidR="005D7FFA" w:rsidRPr="005D2D8C" w:rsidRDefault="005D7FFA" w:rsidP="005D7FFA">
      <w:pPr>
        <w:spacing w:line="260" w:lineRule="exact"/>
        <w:jc w:val="right"/>
        <w:rPr>
          <w:rFonts w:eastAsia="標楷體"/>
          <w:color w:val="000000" w:themeColor="text1"/>
          <w:sz w:val="20"/>
          <w:szCs w:val="20"/>
        </w:rPr>
      </w:pPr>
    </w:p>
    <w:p w:rsidR="005D7FFA" w:rsidRPr="00661A3C" w:rsidRDefault="005D7FFA" w:rsidP="005D7FFA">
      <w:pPr>
        <w:tabs>
          <w:tab w:val="left" w:pos="1080"/>
        </w:tabs>
        <w:snapToGrid w:val="0"/>
        <w:spacing w:beforeLines="50" w:before="180"/>
        <w:ind w:left="444" w:hangingChars="185" w:hanging="444"/>
        <w:jc w:val="both"/>
        <w:rPr>
          <w:rFonts w:eastAsia="標楷體" w:hAnsi="標楷體"/>
          <w:color w:val="FF0000"/>
          <w:u w:val="single"/>
        </w:rPr>
      </w:pPr>
      <w:r w:rsidRPr="00661A3C">
        <w:rPr>
          <w:rFonts w:eastAsia="標楷體" w:hAnsi="標楷體"/>
          <w:color w:val="FF0000"/>
          <w:u w:val="single"/>
        </w:rPr>
        <w:t>一、</w:t>
      </w:r>
      <w:r w:rsidRPr="00661A3C">
        <w:rPr>
          <w:rFonts w:eastAsia="標楷體" w:hAnsi="標楷體" w:hint="eastAsia"/>
          <w:color w:val="FF0000"/>
          <w:u w:val="single"/>
        </w:rPr>
        <w:t>為獎勵教師教學優良表現，依據本校「延攬及留住大專校院特殊優秀人才原則」與「延攬及留住大專校院特殊優秀人才實施辦法」</w:t>
      </w:r>
      <w:r w:rsidRPr="00661A3C">
        <w:rPr>
          <w:rFonts w:eastAsia="標楷體" w:hAnsi="標楷體"/>
          <w:color w:val="FF0000"/>
          <w:u w:val="single"/>
        </w:rPr>
        <w:t>，特訂</w:t>
      </w:r>
      <w:r w:rsidRPr="00661A3C">
        <w:rPr>
          <w:rFonts w:eastAsia="標楷體" w:hAnsi="標楷體" w:hint="eastAsia"/>
          <w:color w:val="FF0000"/>
          <w:u w:val="single"/>
        </w:rPr>
        <w:t>定管理學院學術研究績優教師審查要點。（以下簡稱</w:t>
      </w:r>
      <w:r w:rsidRPr="00661A3C">
        <w:rPr>
          <w:rFonts w:eastAsia="標楷體" w:hAnsi="標楷體"/>
          <w:color w:val="FF0000"/>
          <w:u w:val="single"/>
        </w:rPr>
        <w:t>本</w:t>
      </w:r>
      <w:r w:rsidRPr="00661A3C">
        <w:rPr>
          <w:rFonts w:eastAsia="標楷體" w:hAnsi="標楷體" w:hint="eastAsia"/>
          <w:color w:val="FF0000"/>
          <w:u w:val="single"/>
        </w:rPr>
        <w:t>要點）</w:t>
      </w:r>
    </w:p>
    <w:p w:rsidR="005D7FFA" w:rsidRPr="00661A3C" w:rsidRDefault="005D7FFA" w:rsidP="005D7FFA">
      <w:pPr>
        <w:tabs>
          <w:tab w:val="left" w:pos="1080"/>
        </w:tabs>
        <w:snapToGrid w:val="0"/>
        <w:spacing w:beforeLines="50" w:before="180"/>
        <w:ind w:left="444" w:hangingChars="185" w:hanging="444"/>
        <w:jc w:val="both"/>
        <w:rPr>
          <w:rFonts w:ascii="標楷體" w:eastAsia="標楷體" w:hAnsi="標楷體"/>
          <w:color w:val="FF0000"/>
          <w:u w:val="single"/>
        </w:rPr>
      </w:pPr>
      <w:r w:rsidRPr="00661A3C">
        <w:rPr>
          <w:rFonts w:eastAsia="標楷體" w:hAnsi="標楷體" w:hint="eastAsia"/>
          <w:color w:val="FF0000"/>
          <w:u w:val="single"/>
        </w:rPr>
        <w:t>二、</w:t>
      </w:r>
      <w:r w:rsidRPr="00661A3C">
        <w:rPr>
          <w:rFonts w:ascii="標楷體" w:eastAsia="標楷體" w:hAnsi="標楷體" w:hint="eastAsia"/>
          <w:color w:val="FF0000"/>
          <w:u w:val="single"/>
        </w:rPr>
        <w:t>本院任職滿一年以上之專任教師，且符合第三點所列計畫三件與</w:t>
      </w:r>
      <w:r w:rsidRPr="00661A3C">
        <w:rPr>
          <w:rFonts w:ascii="標楷體" w:eastAsia="標楷體" w:hAnsi="標楷體"/>
          <w:color w:val="FF0000"/>
          <w:u w:val="single"/>
        </w:rPr>
        <w:t>論文篇數</w:t>
      </w:r>
      <w:r w:rsidRPr="00661A3C">
        <w:rPr>
          <w:rFonts w:ascii="標楷體" w:eastAsia="標楷體" w:hAnsi="標楷體" w:hint="eastAsia"/>
          <w:color w:val="FF0000"/>
          <w:u w:val="single"/>
        </w:rPr>
        <w:t>二</w:t>
      </w:r>
      <w:r w:rsidRPr="00661A3C">
        <w:rPr>
          <w:rFonts w:ascii="標楷體" w:eastAsia="標楷體" w:hAnsi="標楷體"/>
          <w:color w:val="FF0000"/>
          <w:u w:val="single"/>
        </w:rPr>
        <w:t>篇以上</w:t>
      </w:r>
      <w:r w:rsidRPr="00661A3C">
        <w:rPr>
          <w:rFonts w:ascii="標楷體" w:eastAsia="標楷體" w:hAnsi="標楷體" w:hint="eastAsia"/>
          <w:color w:val="FF0000"/>
          <w:u w:val="single"/>
        </w:rPr>
        <w:t>且</w:t>
      </w:r>
      <w:r w:rsidRPr="00661A3C">
        <w:rPr>
          <w:rFonts w:ascii="標楷體" w:eastAsia="標楷體" w:hAnsi="標楷體"/>
          <w:color w:val="FF0000"/>
          <w:u w:val="single"/>
        </w:rPr>
        <w:t>至少</w:t>
      </w:r>
      <w:r w:rsidRPr="00661A3C">
        <w:rPr>
          <w:rFonts w:ascii="標楷體" w:eastAsia="標楷體" w:hAnsi="標楷體" w:hint="eastAsia"/>
          <w:color w:val="FF0000"/>
          <w:u w:val="single"/>
        </w:rPr>
        <w:t>一</w:t>
      </w:r>
      <w:r w:rsidRPr="00661A3C">
        <w:rPr>
          <w:rFonts w:ascii="標楷體" w:eastAsia="標楷體" w:hAnsi="標楷體"/>
          <w:color w:val="FF0000"/>
          <w:u w:val="single"/>
        </w:rPr>
        <w:t>篇SSCI或SCI</w:t>
      </w:r>
      <w:r w:rsidRPr="00661A3C">
        <w:rPr>
          <w:rFonts w:ascii="標楷體" w:eastAsia="標楷體" w:hAnsi="標楷體" w:hint="eastAsia"/>
          <w:color w:val="FF0000"/>
          <w:u w:val="single"/>
        </w:rPr>
        <w:t>規定者，得申請學術研究績優教師。</w:t>
      </w:r>
    </w:p>
    <w:p w:rsidR="005D7FFA" w:rsidRPr="00661A3C" w:rsidRDefault="005D7FFA" w:rsidP="005D7FFA">
      <w:pPr>
        <w:tabs>
          <w:tab w:val="left" w:pos="1080"/>
        </w:tabs>
        <w:snapToGrid w:val="0"/>
        <w:spacing w:beforeLines="50" w:before="180"/>
        <w:ind w:left="444" w:hangingChars="185" w:hanging="444"/>
        <w:jc w:val="both"/>
        <w:rPr>
          <w:rFonts w:eastAsia="標楷體" w:hAnsi="標楷體"/>
        </w:rPr>
      </w:pPr>
      <w:r w:rsidRPr="00661A3C">
        <w:rPr>
          <w:rFonts w:ascii="標楷體" w:eastAsia="標楷體" w:hAnsi="標楷體" w:hint="eastAsia"/>
          <w:color w:val="FF0000"/>
          <w:u w:val="single"/>
        </w:rPr>
        <w:t>三、申請教師以四年內符合下列計點項目者，依下列計點方式計算排序</w:t>
      </w:r>
      <w:r w:rsidRPr="00661A3C">
        <w:rPr>
          <w:rFonts w:ascii="標楷體" w:eastAsia="標楷體" w:hAnsi="標楷體" w:hint="eastAsia"/>
          <w:color w:val="000000"/>
        </w:rPr>
        <w:t>：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452"/>
        <w:gridCol w:w="2693"/>
        <w:gridCol w:w="992"/>
        <w:gridCol w:w="3719"/>
      </w:tblGrid>
      <w:tr w:rsidR="005D7FFA" w:rsidRPr="00362C0E" w:rsidTr="00661A3C">
        <w:trPr>
          <w:trHeight w:val="360"/>
        </w:trPr>
        <w:tc>
          <w:tcPr>
            <w:tcW w:w="2694" w:type="dxa"/>
            <w:gridSpan w:val="2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62C0E">
              <w:rPr>
                <w:rFonts w:eastAsia="標楷體"/>
                <w:b/>
                <w:color w:val="000000" w:themeColor="text1"/>
              </w:rPr>
              <w:t>計點項目</w:t>
            </w:r>
          </w:p>
        </w:tc>
        <w:tc>
          <w:tcPr>
            <w:tcW w:w="3685" w:type="dxa"/>
            <w:gridSpan w:val="2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62C0E">
              <w:rPr>
                <w:rFonts w:eastAsia="標楷體"/>
                <w:b/>
                <w:color w:val="000000" w:themeColor="text1"/>
              </w:rPr>
              <w:t>計點方式</w:t>
            </w:r>
          </w:p>
        </w:tc>
        <w:tc>
          <w:tcPr>
            <w:tcW w:w="3719" w:type="dxa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62C0E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5D7FFA" w:rsidRPr="00362C0E" w:rsidTr="00661A3C">
        <w:trPr>
          <w:trHeight w:val="1414"/>
        </w:trPr>
        <w:tc>
          <w:tcPr>
            <w:tcW w:w="2694" w:type="dxa"/>
            <w:gridSpan w:val="2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 w:hint="eastAsia"/>
                <w:color w:val="000000" w:themeColor="text1"/>
              </w:rPr>
              <w:t>1.</w:t>
            </w:r>
            <w:r w:rsidRPr="00362C0E">
              <w:rPr>
                <w:rFonts w:eastAsia="標楷體"/>
                <w:color w:val="000000" w:themeColor="text1"/>
              </w:rPr>
              <w:t>科技部專題研究計畫</w:t>
            </w:r>
          </w:p>
          <w:p w:rsidR="005D7FFA" w:rsidRPr="00362C0E" w:rsidRDefault="005D7FFA" w:rsidP="0015383E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 w:hint="eastAsia"/>
                <w:color w:val="000000" w:themeColor="text1"/>
              </w:rPr>
              <w:t>2.</w:t>
            </w:r>
            <w:r w:rsidRPr="00362C0E">
              <w:rPr>
                <w:rFonts w:eastAsia="標楷體"/>
                <w:color w:val="000000" w:themeColor="text1"/>
              </w:rPr>
              <w:t>科技部國際合作計畫主持人</w:t>
            </w:r>
          </w:p>
          <w:p w:rsidR="005D7FFA" w:rsidRPr="00661A3C" w:rsidRDefault="005D7FFA" w:rsidP="00661A3C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 w:hint="eastAsia"/>
                <w:color w:val="000000" w:themeColor="text1"/>
              </w:rPr>
              <w:t>3.</w:t>
            </w:r>
            <w:r w:rsidRPr="00362C0E">
              <w:rPr>
                <w:rFonts w:eastAsia="標楷體"/>
                <w:color w:val="000000" w:themeColor="text1"/>
              </w:rPr>
              <w:t>經</w:t>
            </w:r>
            <w:r w:rsidRPr="003F34B9">
              <w:rPr>
                <w:rFonts w:eastAsia="標楷體" w:hint="eastAsia"/>
              </w:rPr>
              <w:t>產學營運暨推廣教育處</w:t>
            </w:r>
            <w:r w:rsidRPr="00362C0E">
              <w:rPr>
                <w:rFonts w:eastAsia="標楷體"/>
                <w:color w:val="000000" w:themeColor="text1"/>
              </w:rPr>
              <w:t>認定之建教合作計畫</w:t>
            </w:r>
          </w:p>
        </w:tc>
        <w:tc>
          <w:tcPr>
            <w:tcW w:w="3685" w:type="dxa"/>
            <w:gridSpan w:val="2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ind w:firstLineChars="14" w:firstLine="34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10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件</w:t>
            </w:r>
          </w:p>
        </w:tc>
        <w:tc>
          <w:tcPr>
            <w:tcW w:w="3719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ind w:left="192" w:hangingChars="80" w:hanging="192"/>
              <w:jc w:val="both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1</w:t>
            </w:r>
            <w:r w:rsidRPr="00362C0E">
              <w:rPr>
                <w:rFonts w:eastAsia="標楷體" w:hint="eastAsia"/>
                <w:color w:val="000000" w:themeColor="text1"/>
              </w:rPr>
              <w:t>.</w:t>
            </w:r>
            <w:r w:rsidRPr="00362C0E">
              <w:rPr>
                <w:rFonts w:eastAsia="標楷體"/>
                <w:color w:val="000000" w:themeColor="text1"/>
              </w:rPr>
              <w:t>申請教師之科技部專題研究計畫須為主持人，共同主持人不計算。</w:t>
            </w:r>
          </w:p>
          <w:p w:rsidR="005D7FFA" w:rsidRPr="00362C0E" w:rsidRDefault="005D7FFA" w:rsidP="0015383E">
            <w:pPr>
              <w:snapToGrid w:val="0"/>
              <w:spacing w:line="300" w:lineRule="exact"/>
              <w:ind w:left="192" w:hangingChars="80" w:hanging="192"/>
              <w:jc w:val="both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 w:hint="eastAsia"/>
                <w:color w:val="000000" w:themeColor="text1"/>
              </w:rPr>
              <w:t>.</w:t>
            </w:r>
            <w:r w:rsidRPr="00362C0E">
              <w:rPr>
                <w:rFonts w:eastAsia="標楷體"/>
                <w:color w:val="000000" w:themeColor="text1"/>
              </w:rPr>
              <w:t>科技部國際合作計畫，惟純國際差旅及參加國際會議屬性之計畫不計算。</w:t>
            </w:r>
          </w:p>
        </w:tc>
      </w:tr>
      <w:tr w:rsidR="005D7FFA" w:rsidRPr="00362C0E" w:rsidTr="00661A3C">
        <w:trPr>
          <w:trHeight w:val="414"/>
        </w:trPr>
        <w:tc>
          <w:tcPr>
            <w:tcW w:w="1242" w:type="dxa"/>
            <w:vMerge w:val="restart"/>
            <w:vAlign w:val="center"/>
          </w:tcPr>
          <w:p w:rsidR="005D7FFA" w:rsidRPr="00362C0E" w:rsidRDefault="005D7FFA" w:rsidP="00661A3C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/>
                <w:color w:val="FF0000"/>
                <w:u w:val="single"/>
              </w:rPr>
              <w:t>學術期刊</w:t>
            </w:r>
          </w:p>
        </w:tc>
        <w:tc>
          <w:tcPr>
            <w:tcW w:w="1452" w:type="dxa"/>
            <w:vMerge w:val="restart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頂尖</w:t>
            </w:r>
          </w:p>
          <w:p w:rsidR="005D7FFA" w:rsidRPr="00866769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期刊</w:t>
            </w: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屬第一作者或通訊作者</w:t>
            </w:r>
          </w:p>
        </w:tc>
        <w:tc>
          <w:tcPr>
            <w:tcW w:w="992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80</w:t>
            </w:r>
            <w:r w:rsidRPr="00866769">
              <w:rPr>
                <w:rFonts w:eastAsia="標楷體"/>
                <w:color w:val="FF0000"/>
                <w:u w:val="single"/>
              </w:rPr>
              <w:t>點</w:t>
            </w:r>
            <w:r w:rsidRPr="00866769">
              <w:rPr>
                <w:rFonts w:eastAsia="標楷體"/>
                <w:color w:val="FF0000"/>
                <w:u w:val="single"/>
              </w:rPr>
              <w:t>/</w:t>
            </w:r>
            <w:r w:rsidRPr="00866769">
              <w:rPr>
                <w:rFonts w:eastAsia="標楷體"/>
                <w:color w:val="FF0000"/>
                <w:u w:val="single"/>
              </w:rPr>
              <w:t>篇</w:t>
            </w:r>
          </w:p>
        </w:tc>
        <w:tc>
          <w:tcPr>
            <w:tcW w:w="3719" w:type="dxa"/>
            <w:vMerge w:val="restart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1.</w:t>
            </w:r>
            <w:r w:rsidRPr="00866769">
              <w:rPr>
                <w:rFonts w:eastAsia="標楷體" w:hint="eastAsia"/>
                <w:color w:val="FF0000"/>
                <w:u w:val="single"/>
              </w:rPr>
              <w:t>已計入頂尖期刊者</w:t>
            </w:r>
            <w:r>
              <w:rPr>
                <w:rFonts w:eastAsia="標楷體" w:hint="eastAsia"/>
                <w:color w:val="FF0000"/>
                <w:u w:val="single"/>
              </w:rPr>
              <w:t>(</w:t>
            </w:r>
            <w:r>
              <w:rPr>
                <w:rFonts w:eastAsia="標楷體" w:hint="eastAsia"/>
                <w:color w:val="FF0000"/>
                <w:u w:val="single"/>
              </w:rPr>
              <w:t>如附件</w:t>
            </w:r>
            <w:r>
              <w:rPr>
                <w:rFonts w:eastAsia="標楷體" w:hint="eastAsia"/>
                <w:color w:val="FF0000"/>
                <w:u w:val="single"/>
              </w:rPr>
              <w:t>1)</w:t>
            </w:r>
            <w:r w:rsidRPr="00866769">
              <w:rPr>
                <w:rFonts w:eastAsia="標楷體" w:hint="eastAsia"/>
                <w:color w:val="FF0000"/>
                <w:u w:val="single"/>
              </w:rPr>
              <w:t>，不得再重複計。</w:t>
            </w:r>
          </w:p>
          <w:p w:rsidR="005D7FFA" w:rsidRDefault="005D7FFA" w:rsidP="0015383E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2.</w:t>
            </w:r>
            <w:r w:rsidRPr="00362C0E">
              <w:rPr>
                <w:rFonts w:eastAsia="標楷體"/>
                <w:color w:val="000000" w:themeColor="text1"/>
              </w:rPr>
              <w:t>申請論文須為已發表之期刊，並以</w:t>
            </w:r>
            <w:r w:rsidRPr="009A609F">
              <w:rPr>
                <w:rFonts w:eastAsia="標楷體" w:hint="eastAsia"/>
                <w:color w:val="FF0000"/>
                <w:u w:val="single"/>
              </w:rPr>
              <w:t>國立</w:t>
            </w:r>
            <w:r w:rsidRPr="00362C0E">
              <w:rPr>
                <w:rFonts w:eastAsia="標楷體"/>
                <w:color w:val="000000" w:themeColor="text1"/>
              </w:rPr>
              <w:t>中山大學之名義發表。</w:t>
            </w:r>
            <w:r w:rsidRPr="003C6ACA">
              <w:rPr>
                <w:rFonts w:eastAsia="標楷體" w:hint="eastAsia"/>
                <w:color w:val="FF0000"/>
                <w:u w:val="single"/>
              </w:rPr>
              <w:t>且本校教師所發表論文地址欄，如有兩個以上單位時，以中山大學為第一單位之名義發表者為限，且兩個以上的本校作者將以排名在前之作者或通訊作者（請附證明）為執行對象。</w:t>
            </w:r>
          </w:p>
          <w:p w:rsidR="005D7FFA" w:rsidRDefault="005D7FFA" w:rsidP="0015383E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3.</w:t>
            </w:r>
            <w:r w:rsidRPr="00866769">
              <w:rPr>
                <w:rFonts w:eastAsia="標楷體" w:hint="eastAsia"/>
                <w:color w:val="FF0000"/>
                <w:u w:val="single"/>
              </w:rPr>
              <w:t>除頂尖期刊外，</w:t>
            </w:r>
            <w:r>
              <w:rPr>
                <w:rFonts w:eastAsia="標楷體"/>
                <w:color w:val="000000" w:themeColor="text1"/>
              </w:rPr>
              <w:t>須為學生以外之第一作者或論文通訊作者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5D7FFA" w:rsidRPr="00362C0E" w:rsidRDefault="005D7FFA" w:rsidP="0015383E">
            <w:pPr>
              <w:snapToGrid w:val="0"/>
              <w:spacing w:line="300" w:lineRule="exact"/>
              <w:ind w:left="204" w:hangingChars="85" w:hanging="20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FF0000"/>
                <w:u w:val="single"/>
              </w:rPr>
              <w:t>4.</w:t>
            </w:r>
            <w:r w:rsidRPr="00066197">
              <w:rPr>
                <w:rFonts w:eastAsia="標楷體"/>
                <w:color w:val="FF0000"/>
                <w:u w:val="single"/>
              </w:rPr>
              <w:t>論文之採計，以申請年度往前推四年最佳排名為依據</w:t>
            </w:r>
            <w:r>
              <w:rPr>
                <w:rFonts w:eastAsia="標楷體" w:hint="eastAsia"/>
                <w:color w:val="FF0000"/>
                <w:u w:val="single"/>
              </w:rPr>
              <w:t>。</w:t>
            </w:r>
          </w:p>
        </w:tc>
      </w:tr>
      <w:tr w:rsidR="005D7FFA" w:rsidRPr="00362C0E" w:rsidTr="00661A3C">
        <w:trPr>
          <w:trHeight w:val="405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其他作者</w:t>
            </w:r>
          </w:p>
        </w:tc>
        <w:tc>
          <w:tcPr>
            <w:tcW w:w="992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u w:val="single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30</w:t>
            </w:r>
            <w:r w:rsidRPr="00866769">
              <w:rPr>
                <w:rFonts w:eastAsia="標楷體"/>
                <w:color w:val="FF0000"/>
                <w:u w:val="single"/>
              </w:rPr>
              <w:t>點</w:t>
            </w:r>
            <w:r w:rsidRPr="00866769">
              <w:rPr>
                <w:rFonts w:eastAsia="標楷體"/>
                <w:color w:val="FF0000"/>
                <w:u w:val="single"/>
              </w:rPr>
              <w:t>/</w:t>
            </w:r>
            <w:r w:rsidRPr="00866769">
              <w:rPr>
                <w:rFonts w:eastAsia="標楷體"/>
                <w:color w:val="FF0000"/>
                <w:u w:val="single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405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SSCI</w:t>
            </w: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排名前</w:t>
            </w:r>
            <w:r w:rsidRPr="00866769">
              <w:rPr>
                <w:rFonts w:eastAsia="標楷體" w:hint="eastAsia"/>
                <w:color w:val="FF0000"/>
                <w:u w:val="single"/>
              </w:rPr>
              <w:t>1</w:t>
            </w:r>
            <w:r w:rsidRPr="00866769">
              <w:rPr>
                <w:rFonts w:eastAsia="標楷體"/>
                <w:color w:val="FF0000"/>
                <w:u w:val="single"/>
              </w:rPr>
              <w:t>0</w:t>
            </w:r>
            <w:r w:rsidRPr="00866769">
              <w:rPr>
                <w:rFonts w:eastAsia="標楷體"/>
              </w:rPr>
              <w:t>%(</w:t>
            </w:r>
            <w:r w:rsidRPr="00866769">
              <w:rPr>
                <w:rFonts w:eastAsia="標楷體" w:hint="eastAsia"/>
              </w:rPr>
              <w:t>含</w:t>
            </w:r>
            <w:r w:rsidRPr="00866769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24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543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866769">
              <w:rPr>
                <w:rFonts w:eastAsia="標楷體" w:hint="eastAsia"/>
                <w:color w:val="FF0000"/>
                <w:u w:val="single"/>
              </w:rPr>
              <w:t>1</w:t>
            </w:r>
            <w:r w:rsidRPr="00866769">
              <w:rPr>
                <w:rFonts w:eastAsia="標楷體"/>
                <w:color w:val="FF0000"/>
                <w:u w:val="single"/>
              </w:rPr>
              <w:t>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不含</w:t>
            </w:r>
            <w:r w:rsidRPr="00866769">
              <w:rPr>
                <w:rFonts w:eastAsia="標楷體"/>
                <w:color w:val="FF0000"/>
                <w:u w:val="single"/>
              </w:rPr>
              <w:t>)~</w:t>
            </w:r>
            <w:r w:rsidRPr="00866769">
              <w:rPr>
                <w:rFonts w:eastAsia="標楷體" w:hint="eastAsia"/>
                <w:color w:val="FF0000"/>
                <w:u w:val="single"/>
              </w:rPr>
              <w:t>3</w:t>
            </w:r>
            <w:r w:rsidRPr="00866769">
              <w:rPr>
                <w:rFonts w:eastAsia="標楷體"/>
                <w:color w:val="FF0000"/>
                <w:u w:val="single"/>
              </w:rPr>
              <w:t>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含</w:t>
            </w:r>
            <w:r w:rsidRPr="00866769">
              <w:rPr>
                <w:rFonts w:eastAsia="標楷體"/>
                <w:color w:val="FF0000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/>
                <w:color w:val="FF0000"/>
                <w:u w:val="single"/>
              </w:rPr>
              <w:t>1</w:t>
            </w:r>
            <w:r w:rsidRPr="00866769">
              <w:rPr>
                <w:rFonts w:eastAsia="標楷體" w:hint="eastAsia"/>
                <w:color w:val="FF0000"/>
                <w:u w:val="single"/>
              </w:rPr>
              <w:t>8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422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866769">
              <w:rPr>
                <w:rFonts w:eastAsia="標楷體" w:hint="eastAsia"/>
                <w:color w:val="FF0000"/>
                <w:u w:val="single"/>
              </w:rPr>
              <w:t>30%(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不含</w:t>
            </w:r>
            <w:r w:rsidRPr="00866769">
              <w:rPr>
                <w:rFonts w:eastAsia="標楷體" w:hint="eastAsia"/>
                <w:color w:val="FF0000"/>
                <w:u w:val="single"/>
              </w:rPr>
              <w:t>)~</w:t>
            </w:r>
            <w:r w:rsidRPr="00866769">
              <w:rPr>
                <w:rFonts w:eastAsia="標楷體"/>
                <w:color w:val="FF0000"/>
                <w:u w:val="single"/>
              </w:rPr>
              <w:t>70%(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含</w:t>
            </w:r>
            <w:r w:rsidRPr="00866769">
              <w:rPr>
                <w:rFonts w:eastAsia="標楷體"/>
                <w:color w:val="FF0000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12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431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SCI</w:t>
            </w:r>
          </w:p>
          <w:p w:rsidR="005D7FFA" w:rsidRPr="004D1997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4D1997">
              <w:rPr>
                <w:rFonts w:eastAsia="標楷體" w:hint="eastAsia"/>
                <w:strike/>
                <w:color w:val="FF0000"/>
              </w:rPr>
              <w:t>(</w:t>
            </w:r>
            <w:r w:rsidRPr="004D1997">
              <w:rPr>
                <w:rFonts w:eastAsia="標楷體"/>
                <w:strike/>
                <w:color w:val="FF0000"/>
              </w:rPr>
              <w:t>SCIE</w:t>
            </w:r>
            <w:r w:rsidRPr="004D1997">
              <w:rPr>
                <w:rFonts w:eastAsia="標楷體" w:hint="eastAsia"/>
                <w:strike/>
                <w:color w:val="FF0000"/>
              </w:rPr>
              <w:t>)</w:t>
            </w: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排名前</w:t>
            </w:r>
            <w:r w:rsidRPr="00866769">
              <w:rPr>
                <w:rFonts w:eastAsia="標楷體" w:hint="eastAsia"/>
                <w:color w:val="FF0000"/>
                <w:u w:val="single"/>
              </w:rPr>
              <w:t>1</w:t>
            </w:r>
            <w:r w:rsidRPr="00866769">
              <w:rPr>
                <w:rFonts w:eastAsia="標楷體"/>
                <w:color w:val="FF0000"/>
                <w:u w:val="single"/>
              </w:rPr>
              <w:t>0</w:t>
            </w:r>
            <w:r w:rsidRPr="00866769">
              <w:rPr>
                <w:rFonts w:eastAsia="標楷體"/>
              </w:rPr>
              <w:t>%(</w:t>
            </w:r>
            <w:r w:rsidRPr="00866769">
              <w:rPr>
                <w:rFonts w:eastAsia="標楷體" w:hint="eastAsia"/>
              </w:rPr>
              <w:t>含</w:t>
            </w:r>
            <w:r w:rsidRPr="00866769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12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433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866769">
              <w:rPr>
                <w:rFonts w:eastAsia="標楷體" w:hint="eastAsia"/>
                <w:color w:val="FF0000"/>
                <w:u w:val="single"/>
              </w:rPr>
              <w:t>1</w:t>
            </w:r>
            <w:r w:rsidRPr="00866769">
              <w:rPr>
                <w:rFonts w:eastAsia="標楷體"/>
                <w:color w:val="FF0000"/>
                <w:u w:val="single"/>
              </w:rPr>
              <w:t>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不含</w:t>
            </w:r>
            <w:r w:rsidRPr="00866769">
              <w:rPr>
                <w:rFonts w:eastAsia="標楷體"/>
                <w:color w:val="FF0000"/>
                <w:u w:val="single"/>
              </w:rPr>
              <w:t>)~</w:t>
            </w:r>
            <w:r w:rsidRPr="00866769">
              <w:rPr>
                <w:rFonts w:eastAsia="標楷體" w:hint="eastAsia"/>
                <w:color w:val="FF0000"/>
                <w:u w:val="single"/>
              </w:rPr>
              <w:t>3</w:t>
            </w:r>
            <w:r w:rsidRPr="00866769">
              <w:rPr>
                <w:rFonts w:eastAsia="標楷體"/>
                <w:color w:val="FF0000"/>
                <w:u w:val="single"/>
              </w:rPr>
              <w:t>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含</w:t>
            </w:r>
            <w:r w:rsidRPr="00866769">
              <w:rPr>
                <w:rFonts w:eastAsia="標楷體"/>
                <w:color w:val="FF0000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9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537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D7FFA" w:rsidRPr="00866769" w:rsidRDefault="005D7FFA" w:rsidP="0015383E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866769">
              <w:rPr>
                <w:rFonts w:eastAsia="標楷體" w:hint="eastAsia"/>
                <w:color w:val="FF0000"/>
                <w:u w:val="single"/>
              </w:rPr>
              <w:t>30%(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不含</w:t>
            </w:r>
            <w:r w:rsidRPr="00866769">
              <w:rPr>
                <w:rFonts w:eastAsia="標楷體" w:hint="eastAsia"/>
                <w:color w:val="FF0000"/>
                <w:u w:val="single"/>
              </w:rPr>
              <w:t>)~</w:t>
            </w:r>
            <w:r w:rsidRPr="00866769">
              <w:rPr>
                <w:rFonts w:eastAsia="標楷體"/>
                <w:color w:val="FF0000"/>
                <w:u w:val="single"/>
              </w:rPr>
              <w:t>70%(</w:t>
            </w:r>
            <w:r w:rsidRPr="00866769">
              <w:rPr>
                <w:rFonts w:eastAsia="標楷體" w:hint="eastAsia"/>
                <w:color w:val="FF0000"/>
                <w:u w:val="single"/>
              </w:rPr>
              <w:t>含</w:t>
            </w:r>
            <w:r w:rsidRPr="00866769">
              <w:rPr>
                <w:rFonts w:eastAsia="標楷體"/>
                <w:color w:val="FF0000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FF0000"/>
                <w:u w:val="single"/>
              </w:rPr>
              <w:t>6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405"/>
        </w:trPr>
        <w:tc>
          <w:tcPr>
            <w:tcW w:w="1242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TSSCI</w:t>
            </w:r>
          </w:p>
        </w:tc>
        <w:tc>
          <w:tcPr>
            <w:tcW w:w="2693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866769">
              <w:rPr>
                <w:rFonts w:eastAsia="標楷體" w:hint="eastAsia"/>
                <w:color w:val="FF0000"/>
                <w:u w:val="single"/>
              </w:rPr>
              <w:t>為</w:t>
            </w:r>
            <w:r>
              <w:rPr>
                <w:rFonts w:eastAsia="標楷體" w:hint="eastAsia"/>
                <w:color w:val="FF0000"/>
                <w:u w:val="single"/>
              </w:rPr>
              <w:t>評比第一級</w:t>
            </w:r>
            <w:r w:rsidRPr="00866769">
              <w:rPr>
                <w:rFonts w:eastAsia="標楷體" w:hint="eastAsia"/>
                <w:color w:val="FF0000"/>
                <w:u w:val="single"/>
              </w:rPr>
              <w:t>期刊，且</w:t>
            </w: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/>
                <w:color w:val="000000" w:themeColor="text1"/>
              </w:rPr>
              <w:t>篇為限</w:t>
            </w:r>
          </w:p>
        </w:tc>
        <w:tc>
          <w:tcPr>
            <w:tcW w:w="99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47C0C">
              <w:rPr>
                <w:rFonts w:eastAsia="標楷體" w:hint="eastAsia"/>
                <w:color w:val="FF0000"/>
                <w:u w:val="single"/>
              </w:rPr>
              <w:t>6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7FFA" w:rsidRPr="00362C0E" w:rsidTr="00661A3C">
        <w:trPr>
          <w:trHeight w:val="1133"/>
        </w:trPr>
        <w:tc>
          <w:tcPr>
            <w:tcW w:w="1242" w:type="dxa"/>
            <w:vMerge w:val="restart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專書或專章</w:t>
            </w:r>
          </w:p>
        </w:tc>
        <w:tc>
          <w:tcPr>
            <w:tcW w:w="1452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專書</w:t>
            </w:r>
          </w:p>
        </w:tc>
        <w:tc>
          <w:tcPr>
            <w:tcW w:w="2693" w:type="dxa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以</w:t>
            </w: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/>
                <w:color w:val="000000" w:themeColor="text1"/>
              </w:rPr>
              <w:t>本為限</w:t>
            </w:r>
          </w:p>
        </w:tc>
        <w:tc>
          <w:tcPr>
            <w:tcW w:w="992" w:type="dxa"/>
            <w:vAlign w:val="center"/>
          </w:tcPr>
          <w:p w:rsidR="005D7FFA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英文</w:t>
            </w:r>
          </w:p>
          <w:p w:rsidR="005D7FFA" w:rsidRPr="00362C0E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24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本</w:t>
            </w:r>
          </w:p>
          <w:p w:rsidR="005D7FFA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中文</w:t>
            </w:r>
          </w:p>
          <w:p w:rsidR="005D7FFA" w:rsidRPr="00362C0E" w:rsidRDefault="005D7FFA" w:rsidP="0015383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9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本</w:t>
            </w:r>
          </w:p>
        </w:tc>
        <w:tc>
          <w:tcPr>
            <w:tcW w:w="3719" w:type="dxa"/>
            <w:vMerge w:val="restart"/>
            <w:vAlign w:val="center"/>
          </w:tcPr>
          <w:p w:rsidR="005D7FFA" w:rsidRPr="00362C0E" w:rsidRDefault="005D7FFA" w:rsidP="00153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依據「科技部補助出版人文學及社會科學專書作業要點」</w:t>
            </w:r>
            <w:r w:rsidRPr="00362C0E">
              <w:rPr>
                <w:rFonts w:eastAsia="標楷體" w:hint="eastAsia"/>
                <w:color w:val="000000" w:themeColor="text1"/>
              </w:rPr>
              <w:t>及</w:t>
            </w:r>
            <w:r w:rsidRPr="00362C0E">
              <w:rPr>
                <w:rFonts w:eastAsia="標楷體"/>
                <w:color w:val="000000" w:themeColor="text1"/>
              </w:rPr>
              <w:t>本校</w:t>
            </w:r>
            <w:r w:rsidRPr="00362C0E">
              <w:rPr>
                <w:rFonts w:eastAsia="標楷體" w:hint="eastAsia"/>
                <w:color w:val="000000" w:themeColor="text1"/>
              </w:rPr>
              <w:t>「</w:t>
            </w:r>
            <w:r w:rsidRPr="00362C0E">
              <w:rPr>
                <w:rFonts w:eastAsia="標楷體"/>
                <w:color w:val="000000" w:themeColor="text1"/>
              </w:rPr>
              <w:t>學術期刊論文發表及專書發表獎勵要點</w:t>
            </w:r>
            <w:r w:rsidRPr="00362C0E">
              <w:rPr>
                <w:rFonts w:eastAsia="標楷體" w:hint="eastAsia"/>
                <w:color w:val="000000" w:themeColor="text1"/>
              </w:rPr>
              <w:t>」</w:t>
            </w:r>
            <w:r w:rsidRPr="00362C0E">
              <w:rPr>
                <w:rFonts w:eastAsia="標楷體"/>
                <w:color w:val="000000" w:themeColor="text1"/>
              </w:rPr>
              <w:t>，通過科技部審查獲得補助之專書，或經正式審查程序通過並出版具有</w:t>
            </w:r>
            <w:r w:rsidRPr="00362C0E">
              <w:rPr>
                <w:rFonts w:eastAsia="標楷體"/>
                <w:color w:val="000000" w:themeColor="text1"/>
              </w:rPr>
              <w:t>ISBN</w:t>
            </w:r>
            <w:r w:rsidRPr="00362C0E">
              <w:rPr>
                <w:rFonts w:eastAsia="標楷體"/>
                <w:color w:val="000000" w:themeColor="text1"/>
              </w:rPr>
              <w:t>之學術專書</w:t>
            </w:r>
            <w:r w:rsidRPr="00362C0E">
              <w:rPr>
                <w:rFonts w:eastAsia="標楷體"/>
                <w:color w:val="000000" w:themeColor="text1"/>
              </w:rPr>
              <w:t>(</w:t>
            </w:r>
            <w:r w:rsidRPr="00362C0E">
              <w:rPr>
                <w:rFonts w:eastAsia="標楷體"/>
                <w:color w:val="000000" w:themeColor="text1"/>
              </w:rPr>
              <w:t>須檢附審查程序文件及通過證明</w:t>
            </w:r>
            <w:r w:rsidRPr="00362C0E">
              <w:rPr>
                <w:rFonts w:eastAsia="標楷體"/>
                <w:color w:val="000000" w:themeColor="text1"/>
              </w:rPr>
              <w:t>)</w:t>
            </w:r>
            <w:r w:rsidRPr="00362C0E">
              <w:rPr>
                <w:rFonts w:eastAsia="標楷體"/>
                <w:color w:val="000000" w:themeColor="text1"/>
              </w:rPr>
              <w:t>，同一篇專章或專書擇優獎勵，不予重複獎勵</w:t>
            </w:r>
            <w:r w:rsidRPr="00362C0E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5D7FFA" w:rsidRPr="00362C0E" w:rsidTr="00661A3C">
        <w:trPr>
          <w:trHeight w:val="924"/>
        </w:trPr>
        <w:tc>
          <w:tcPr>
            <w:tcW w:w="1242" w:type="dxa"/>
            <w:vMerge/>
          </w:tcPr>
          <w:p w:rsidR="005D7FFA" w:rsidRPr="00362C0E" w:rsidRDefault="005D7FFA" w:rsidP="0015383E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5D7FFA" w:rsidRPr="00362C0E" w:rsidRDefault="005D7FFA" w:rsidP="0015383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專章</w:t>
            </w:r>
          </w:p>
        </w:tc>
        <w:tc>
          <w:tcPr>
            <w:tcW w:w="2693" w:type="dxa"/>
            <w:vAlign w:val="center"/>
          </w:tcPr>
          <w:p w:rsidR="005D7FFA" w:rsidRPr="00362C0E" w:rsidRDefault="005D7FFA" w:rsidP="0015383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以</w:t>
            </w: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/>
                <w:color w:val="000000" w:themeColor="text1"/>
              </w:rPr>
              <w:t>篇為限</w:t>
            </w:r>
          </w:p>
        </w:tc>
        <w:tc>
          <w:tcPr>
            <w:tcW w:w="992" w:type="dxa"/>
            <w:vAlign w:val="center"/>
          </w:tcPr>
          <w:p w:rsidR="005D7FFA" w:rsidRDefault="005D7FFA" w:rsidP="0015383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英文</w:t>
            </w:r>
          </w:p>
          <w:p w:rsidR="005D7FFA" w:rsidRPr="00362C0E" w:rsidRDefault="005D7FFA" w:rsidP="0015383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5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章</w:t>
            </w:r>
          </w:p>
          <w:p w:rsidR="005D7FFA" w:rsidRDefault="005D7FFA" w:rsidP="0015383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中文</w:t>
            </w:r>
          </w:p>
          <w:p w:rsidR="005D7FFA" w:rsidRPr="00362C0E" w:rsidRDefault="005D7FFA" w:rsidP="0015383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3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3719" w:type="dxa"/>
            <w:vMerge/>
            <w:vAlign w:val="center"/>
          </w:tcPr>
          <w:p w:rsidR="005D7FFA" w:rsidRPr="00362C0E" w:rsidRDefault="005D7FFA" w:rsidP="0015383E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5D7FFA" w:rsidRPr="00661A3C" w:rsidRDefault="005D7FFA" w:rsidP="005D7FFA">
      <w:pPr>
        <w:spacing w:line="320" w:lineRule="exact"/>
        <w:ind w:left="1440" w:hangingChars="600" w:hanging="1440"/>
        <w:rPr>
          <w:rFonts w:eastAsia="標楷體"/>
          <w:color w:val="000000" w:themeColor="text1"/>
        </w:rPr>
      </w:pPr>
      <w:r w:rsidRPr="00661A3C">
        <w:rPr>
          <w:rFonts w:eastAsia="標楷體" w:hint="eastAsia"/>
          <w:color w:val="FF0000"/>
          <w:u w:val="single"/>
        </w:rPr>
        <w:t>四</w:t>
      </w:r>
      <w:r w:rsidRPr="00661A3C">
        <w:rPr>
          <w:rFonts w:eastAsia="標楷體"/>
          <w:color w:val="000000" w:themeColor="text1"/>
        </w:rPr>
        <w:t>、申請</w:t>
      </w:r>
      <w:r w:rsidRPr="00661A3C">
        <w:rPr>
          <w:rFonts w:eastAsia="標楷體" w:hint="eastAsia"/>
          <w:color w:val="FF0000"/>
          <w:u w:val="single"/>
        </w:rPr>
        <w:t>及審查</w:t>
      </w:r>
      <w:r w:rsidRPr="00661A3C">
        <w:rPr>
          <w:rFonts w:eastAsia="標楷體"/>
          <w:color w:val="000000" w:themeColor="text1"/>
        </w:rPr>
        <w:t>方式：</w:t>
      </w:r>
    </w:p>
    <w:p w:rsidR="005D7FFA" w:rsidRPr="00661A3C" w:rsidRDefault="005D7FFA" w:rsidP="005D7FFA">
      <w:pPr>
        <w:spacing w:line="320" w:lineRule="exact"/>
        <w:ind w:leftChars="200" w:left="1200" w:hangingChars="300" w:hanging="720"/>
        <w:rPr>
          <w:rFonts w:eastAsia="標楷體"/>
          <w:color w:val="000000" w:themeColor="text1"/>
        </w:rPr>
      </w:pPr>
      <w:r w:rsidRPr="00661A3C">
        <w:rPr>
          <w:rFonts w:eastAsia="標楷體"/>
          <w:color w:val="000000" w:themeColor="text1"/>
        </w:rPr>
        <w:t>（一）每年配合</w:t>
      </w:r>
      <w:r w:rsidRPr="00661A3C">
        <w:rPr>
          <w:rFonts w:eastAsia="標楷體" w:hint="eastAsia"/>
          <w:color w:val="FF0000"/>
          <w:u w:val="single"/>
        </w:rPr>
        <w:t>研發處規劃時程</w:t>
      </w:r>
      <w:r w:rsidRPr="00661A3C">
        <w:rPr>
          <w:rFonts w:eastAsia="標楷體"/>
          <w:color w:val="000000" w:themeColor="text1"/>
        </w:rPr>
        <w:t>，由本院公告申請期限</w:t>
      </w:r>
      <w:r w:rsidRPr="00661A3C">
        <w:rPr>
          <w:rFonts w:eastAsia="標楷體" w:hint="eastAsia"/>
          <w:color w:val="000000" w:themeColor="text1"/>
        </w:rPr>
        <w:t>，</w:t>
      </w:r>
      <w:r w:rsidRPr="00661A3C">
        <w:rPr>
          <w:rFonts w:eastAsia="標楷體" w:hint="eastAsia"/>
          <w:color w:val="FF0000"/>
          <w:u w:val="single"/>
        </w:rPr>
        <w:t>申請教師</w:t>
      </w:r>
      <w:r w:rsidRPr="00661A3C">
        <w:rPr>
          <w:rFonts w:eastAsia="標楷體"/>
          <w:color w:val="000000" w:themeColor="text1"/>
        </w:rPr>
        <w:t>於截止日期前填寫申請表，檢附佐證資料</w:t>
      </w:r>
      <w:r w:rsidRPr="00661A3C">
        <w:rPr>
          <w:rFonts w:eastAsia="標楷體" w:hint="eastAsia"/>
          <w:color w:val="FF0000"/>
          <w:u w:val="single"/>
        </w:rPr>
        <w:t>（如無檢附則不予採計）</w:t>
      </w:r>
      <w:r w:rsidRPr="00661A3C">
        <w:rPr>
          <w:rFonts w:eastAsia="標楷體"/>
          <w:color w:val="000000" w:themeColor="text1"/>
        </w:rPr>
        <w:t>，經系</w:t>
      </w:r>
      <w:r w:rsidRPr="00661A3C">
        <w:rPr>
          <w:rFonts w:eastAsia="標楷體"/>
          <w:color w:val="000000" w:themeColor="text1"/>
        </w:rPr>
        <w:t>/</w:t>
      </w:r>
      <w:r w:rsidRPr="00661A3C">
        <w:rPr>
          <w:rFonts w:eastAsia="標楷體"/>
          <w:color w:val="000000" w:themeColor="text1"/>
        </w:rPr>
        <w:t>所審核並核章後，提送院彙整。</w:t>
      </w:r>
    </w:p>
    <w:p w:rsidR="005D7FFA" w:rsidRPr="00661A3C" w:rsidRDefault="005D7FFA" w:rsidP="005D7FFA">
      <w:pPr>
        <w:spacing w:line="320" w:lineRule="exact"/>
        <w:ind w:leftChars="200" w:left="1200" w:hangingChars="300" w:hanging="720"/>
        <w:rPr>
          <w:rFonts w:eastAsia="標楷體"/>
          <w:color w:val="000000" w:themeColor="text1"/>
        </w:rPr>
      </w:pPr>
      <w:r w:rsidRPr="00661A3C">
        <w:rPr>
          <w:rFonts w:eastAsia="標楷體"/>
          <w:color w:val="000000" w:themeColor="text1"/>
        </w:rPr>
        <w:t>（二）申請件由主管會議審查後，將審查結果</w:t>
      </w:r>
      <w:r w:rsidRPr="00661A3C">
        <w:rPr>
          <w:rFonts w:eastAsia="標楷體" w:hint="eastAsia"/>
          <w:color w:val="000000" w:themeColor="text1"/>
        </w:rPr>
        <w:t>依</w:t>
      </w:r>
      <w:r w:rsidRPr="00661A3C">
        <w:rPr>
          <w:rFonts w:eastAsia="標楷體" w:hint="eastAsia"/>
          <w:color w:val="FF0000"/>
          <w:u w:val="single"/>
        </w:rPr>
        <w:t>研發處公告名額</w:t>
      </w:r>
      <w:r w:rsidRPr="00661A3C">
        <w:rPr>
          <w:rFonts w:eastAsia="標楷體"/>
          <w:color w:val="FF0000"/>
          <w:u w:val="single"/>
        </w:rPr>
        <w:t>，</w:t>
      </w:r>
      <w:r w:rsidRPr="00661A3C">
        <w:rPr>
          <w:rFonts w:eastAsia="標楷體"/>
          <w:color w:val="000000" w:themeColor="text1"/>
        </w:rPr>
        <w:t>送研發處確認。</w:t>
      </w:r>
    </w:p>
    <w:p w:rsidR="005D7FFA" w:rsidRPr="00661A3C" w:rsidRDefault="005D7FFA" w:rsidP="005D7FFA">
      <w:pPr>
        <w:spacing w:beforeLines="50" w:before="180" w:line="320" w:lineRule="exact"/>
        <w:rPr>
          <w:rFonts w:eastAsia="標楷體"/>
          <w:color w:val="000000" w:themeColor="text1"/>
        </w:rPr>
      </w:pPr>
      <w:r w:rsidRPr="00661A3C">
        <w:rPr>
          <w:rFonts w:eastAsia="標楷體" w:hint="eastAsia"/>
          <w:color w:val="FF0000"/>
          <w:u w:val="single"/>
        </w:rPr>
        <w:t>五</w:t>
      </w:r>
      <w:r w:rsidRPr="00661A3C">
        <w:rPr>
          <w:rFonts w:eastAsia="標楷體"/>
          <w:color w:val="000000" w:themeColor="text1"/>
        </w:rPr>
        <w:t>、本要點經院務會議通過後實施，修正時亦同。</w:t>
      </w:r>
    </w:p>
    <w:p w:rsidR="005D7FFA" w:rsidRDefault="005D7FFA" w:rsidP="005D7FFA">
      <w:pPr>
        <w:spacing w:line="400" w:lineRule="exact"/>
        <w:rPr>
          <w:rFonts w:ascii="標楷體" w:eastAsia="標楷體" w:hAnsi="標楷體"/>
        </w:rPr>
      </w:pPr>
      <w:r w:rsidRPr="009E0459">
        <w:rPr>
          <w:rFonts w:ascii="標楷體" w:eastAsia="標楷體" w:hAnsi="標楷體" w:hint="eastAsia"/>
        </w:rPr>
        <w:lastRenderedPageBreak/>
        <w:t xml:space="preserve">國立中山大學管理學院 </w:t>
      </w:r>
      <w:r w:rsidRPr="009E0459">
        <w:rPr>
          <w:rFonts w:ascii="標楷體" w:eastAsia="標楷體" w:hAnsi="標楷體"/>
        </w:rPr>
        <w:t>學術研究績優教師</w:t>
      </w:r>
      <w:r w:rsidRPr="009E0459">
        <w:rPr>
          <w:rFonts w:ascii="標楷體" w:eastAsia="標楷體" w:hAnsi="標楷體" w:hint="eastAsia"/>
        </w:rPr>
        <w:t>審查要點</w:t>
      </w:r>
    </w:p>
    <w:p w:rsidR="005D7FFA" w:rsidRDefault="005D7FFA" w:rsidP="005D7FFA">
      <w:pPr>
        <w:spacing w:line="400" w:lineRule="exact"/>
        <w:rPr>
          <w:rFonts w:ascii="標楷體" w:eastAsia="標楷體" w:hAnsi="標楷體"/>
        </w:rPr>
      </w:pPr>
      <w:r w:rsidRPr="00A37EB2">
        <w:rPr>
          <w:rFonts w:ascii="標楷體" w:eastAsia="標楷體" w:hAnsi="標楷體" w:hint="eastAsia"/>
        </w:rPr>
        <w:t>附件1 頂尖期刊</w:t>
      </w:r>
      <w:r>
        <w:rPr>
          <w:rFonts w:ascii="標楷體" w:eastAsia="標楷體" w:hAnsi="標楷體" w:hint="eastAsia"/>
        </w:rPr>
        <w:t>清單列示</w:t>
      </w:r>
    </w:p>
    <w:tbl>
      <w:tblPr>
        <w:tblW w:w="92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4999"/>
        <w:gridCol w:w="960"/>
        <w:gridCol w:w="960"/>
        <w:gridCol w:w="1740"/>
      </w:tblGrid>
      <w:tr w:rsidR="005D7FFA" w:rsidRPr="005728DB" w:rsidTr="0015383E">
        <w:trPr>
          <w:trHeight w:val="350"/>
          <w:tblHeader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4999" w:type="dxa"/>
            <w:shd w:val="clear" w:color="000000" w:fill="D9D9D9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期刊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FT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UTD</w:t>
            </w:r>
          </w:p>
        </w:tc>
        <w:tc>
          <w:tcPr>
            <w:tcW w:w="1740" w:type="dxa"/>
            <w:shd w:val="clear" w:color="000000" w:fill="D9D9D9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中山</w:t>
            </w: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管院逸仙學者期刊獎勵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Academy of Management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Academy of Management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Accounting, Organizations and Society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Administrative Science Quarterly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5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American Economic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A06BEF" w:rsidRDefault="00A06BEF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Contemporary Accounting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Econometrica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A06BEF" w:rsidRDefault="00A06BEF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Entrepreneurship Theory and Practice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Harvard Business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10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Health Service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8C1076" w:rsidRDefault="008C1076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Human Relations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Human Resource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Information Systems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Accounting and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Accounting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Applied Psychology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Business Ethics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Business Venturing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19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Journal of Communication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8C1076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8C1076" w:rsidRDefault="008C1076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Consumer Psychology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Consumer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Financial and Quantitative Analysis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Financial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25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Journal of International Business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A06BEF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 Information Systems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Marketing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Marketing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Political Economy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the Academy of Marketing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bookmarkStart w:id="0" w:name="_GoBack" w:colFirst="1" w:colLast="2"/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34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Journal on Computing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A06BEF" w:rsidRDefault="00A06BEF" w:rsidP="0015383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A06BEF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bookmarkEnd w:id="0"/>
      <w:tr w:rsidR="005D7FFA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Management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D7FFA" w:rsidRPr="005728DB" w:rsidRDefault="005D7FFA" w:rsidP="0015383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A06BEF" w:rsidRPr="005728DB" w:rsidTr="00A06BEF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36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Manufacturing and Service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A06BEF" w:rsidRPr="005728DB" w:rsidTr="00A06BEF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37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Marketing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38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MIS Quarterly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Operations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40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Organization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Organization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Organizational Behavior and Human Decision Processes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Production and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Public Administration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A06BEF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Quarterly Journal of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Research Policy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Accounting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Economic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Finance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A609F">
              <w:rPr>
                <w:rFonts w:ascii="新細明體" w:hAnsi="新細明體" w:cs="新細明體"/>
                <w:color w:val="000000"/>
                <w:kern w:val="0"/>
              </w:rPr>
              <w:t>The</w:t>
            </w:r>
            <w:r w:rsidRPr="009A609F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Financial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Sloan Management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Strategic Entrepreneurship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Strategic Management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A06BEF" w:rsidRPr="005728DB" w:rsidTr="0015383E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The Accounting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6BEF" w:rsidRPr="005728DB" w:rsidRDefault="00A06BEF" w:rsidP="00A06BEF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</w:tbl>
    <w:p w:rsidR="00A37EB2" w:rsidRPr="00A37EB2" w:rsidRDefault="00A37EB2" w:rsidP="00661A3C">
      <w:pPr>
        <w:spacing w:line="400" w:lineRule="exact"/>
      </w:pPr>
    </w:p>
    <w:sectPr w:rsidR="00A37EB2" w:rsidRPr="00A37EB2" w:rsidSect="00661A3C">
      <w:pgSz w:w="11906" w:h="16838"/>
      <w:pgMar w:top="851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41" w:rsidRDefault="00EF0541" w:rsidP="00DD5E62">
      <w:r>
        <w:separator/>
      </w:r>
    </w:p>
  </w:endnote>
  <w:endnote w:type="continuationSeparator" w:id="0">
    <w:p w:rsidR="00EF0541" w:rsidRDefault="00EF0541" w:rsidP="00D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41" w:rsidRDefault="00EF0541" w:rsidP="00DD5E62">
      <w:r>
        <w:separator/>
      </w:r>
    </w:p>
  </w:footnote>
  <w:footnote w:type="continuationSeparator" w:id="0">
    <w:p w:rsidR="00EF0541" w:rsidRDefault="00EF0541" w:rsidP="00D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82B"/>
    <w:multiLevelType w:val="hybridMultilevel"/>
    <w:tmpl w:val="39E0C0F8"/>
    <w:lvl w:ilvl="0" w:tplc="4AD8A6B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E740A"/>
    <w:multiLevelType w:val="hybridMultilevel"/>
    <w:tmpl w:val="22CC5F86"/>
    <w:lvl w:ilvl="0" w:tplc="169257FE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7074908"/>
    <w:multiLevelType w:val="hybridMultilevel"/>
    <w:tmpl w:val="1F1CFF20"/>
    <w:lvl w:ilvl="0" w:tplc="017ADEC4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6189B"/>
    <w:multiLevelType w:val="hybridMultilevel"/>
    <w:tmpl w:val="1E40E91E"/>
    <w:lvl w:ilvl="0" w:tplc="749295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A71EA2"/>
    <w:multiLevelType w:val="hybridMultilevel"/>
    <w:tmpl w:val="C94E64D6"/>
    <w:lvl w:ilvl="0" w:tplc="4184D43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78C3D2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03504"/>
    <w:multiLevelType w:val="hybridMultilevel"/>
    <w:tmpl w:val="FEACAEE6"/>
    <w:lvl w:ilvl="0" w:tplc="DF06A8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E92788"/>
    <w:multiLevelType w:val="hybridMultilevel"/>
    <w:tmpl w:val="D5FEEDD2"/>
    <w:lvl w:ilvl="0" w:tplc="4B4CF1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016F6"/>
    <w:multiLevelType w:val="hybridMultilevel"/>
    <w:tmpl w:val="79761230"/>
    <w:lvl w:ilvl="0" w:tplc="A97202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6828C5"/>
    <w:multiLevelType w:val="hybridMultilevel"/>
    <w:tmpl w:val="49A24534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88974EB"/>
    <w:multiLevelType w:val="hybridMultilevel"/>
    <w:tmpl w:val="F17E34DA"/>
    <w:lvl w:ilvl="0" w:tplc="43C8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0F1C06"/>
    <w:multiLevelType w:val="hybridMultilevel"/>
    <w:tmpl w:val="2A00C042"/>
    <w:lvl w:ilvl="0" w:tplc="825EF32A">
      <w:start w:val="1"/>
      <w:numFmt w:val="taiwaneseCountingThousand"/>
      <w:lvlText w:val="（%1）"/>
      <w:lvlJc w:val="left"/>
      <w:pPr>
        <w:ind w:left="11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71"/>
    <w:rsid w:val="00040FE6"/>
    <w:rsid w:val="00066197"/>
    <w:rsid w:val="00086A87"/>
    <w:rsid w:val="000B4F62"/>
    <w:rsid w:val="000C479A"/>
    <w:rsid w:val="000D26B9"/>
    <w:rsid w:val="000F2471"/>
    <w:rsid w:val="001151EC"/>
    <w:rsid w:val="00125394"/>
    <w:rsid w:val="001322EE"/>
    <w:rsid w:val="00151929"/>
    <w:rsid w:val="0015225F"/>
    <w:rsid w:val="00152455"/>
    <w:rsid w:val="00156229"/>
    <w:rsid w:val="00162CA1"/>
    <w:rsid w:val="00187C45"/>
    <w:rsid w:val="001B0149"/>
    <w:rsid w:val="001C6445"/>
    <w:rsid w:val="001D5D70"/>
    <w:rsid w:val="001F77C8"/>
    <w:rsid w:val="00234842"/>
    <w:rsid w:val="00272409"/>
    <w:rsid w:val="00276AAE"/>
    <w:rsid w:val="002807A5"/>
    <w:rsid w:val="002F6648"/>
    <w:rsid w:val="00362C0E"/>
    <w:rsid w:val="00364530"/>
    <w:rsid w:val="003A1D42"/>
    <w:rsid w:val="003A2AD9"/>
    <w:rsid w:val="003A4594"/>
    <w:rsid w:val="003B4884"/>
    <w:rsid w:val="003C6ACA"/>
    <w:rsid w:val="003C7F10"/>
    <w:rsid w:val="003F34B9"/>
    <w:rsid w:val="0045061E"/>
    <w:rsid w:val="00485B84"/>
    <w:rsid w:val="00486CC9"/>
    <w:rsid w:val="004A4D42"/>
    <w:rsid w:val="004D1997"/>
    <w:rsid w:val="00513C96"/>
    <w:rsid w:val="005228AF"/>
    <w:rsid w:val="005407F1"/>
    <w:rsid w:val="00544A12"/>
    <w:rsid w:val="00544F30"/>
    <w:rsid w:val="00547B19"/>
    <w:rsid w:val="00551451"/>
    <w:rsid w:val="0058326C"/>
    <w:rsid w:val="005A1353"/>
    <w:rsid w:val="005D2D8C"/>
    <w:rsid w:val="005D7FFA"/>
    <w:rsid w:val="005F5951"/>
    <w:rsid w:val="00604134"/>
    <w:rsid w:val="00627805"/>
    <w:rsid w:val="00661A3C"/>
    <w:rsid w:val="00673D3E"/>
    <w:rsid w:val="00695BCA"/>
    <w:rsid w:val="006C11E1"/>
    <w:rsid w:val="006C5050"/>
    <w:rsid w:val="006D4365"/>
    <w:rsid w:val="00707164"/>
    <w:rsid w:val="007221CB"/>
    <w:rsid w:val="00732CF6"/>
    <w:rsid w:val="007B2E68"/>
    <w:rsid w:val="007B35A8"/>
    <w:rsid w:val="007B4441"/>
    <w:rsid w:val="007B6680"/>
    <w:rsid w:val="0080566C"/>
    <w:rsid w:val="00840A52"/>
    <w:rsid w:val="00844523"/>
    <w:rsid w:val="00860F62"/>
    <w:rsid w:val="00865C89"/>
    <w:rsid w:val="00866769"/>
    <w:rsid w:val="00871547"/>
    <w:rsid w:val="00882312"/>
    <w:rsid w:val="008A2509"/>
    <w:rsid w:val="008B0F94"/>
    <w:rsid w:val="008C1076"/>
    <w:rsid w:val="008C770C"/>
    <w:rsid w:val="008D08C0"/>
    <w:rsid w:val="00947C0C"/>
    <w:rsid w:val="00957CF1"/>
    <w:rsid w:val="00972D0F"/>
    <w:rsid w:val="00983278"/>
    <w:rsid w:val="009A28A9"/>
    <w:rsid w:val="009A609F"/>
    <w:rsid w:val="009D1018"/>
    <w:rsid w:val="009E0459"/>
    <w:rsid w:val="009E7F6A"/>
    <w:rsid w:val="00A05C46"/>
    <w:rsid w:val="00A06BEF"/>
    <w:rsid w:val="00A2484A"/>
    <w:rsid w:val="00A37EB2"/>
    <w:rsid w:val="00A666AB"/>
    <w:rsid w:val="00A74953"/>
    <w:rsid w:val="00AA7F73"/>
    <w:rsid w:val="00B4711C"/>
    <w:rsid w:val="00B47CEC"/>
    <w:rsid w:val="00B5436E"/>
    <w:rsid w:val="00C0128D"/>
    <w:rsid w:val="00C026FD"/>
    <w:rsid w:val="00C64D6B"/>
    <w:rsid w:val="00C922E1"/>
    <w:rsid w:val="00CD5A34"/>
    <w:rsid w:val="00D11BB6"/>
    <w:rsid w:val="00D56993"/>
    <w:rsid w:val="00DA5858"/>
    <w:rsid w:val="00DB02FE"/>
    <w:rsid w:val="00DD5E62"/>
    <w:rsid w:val="00E11435"/>
    <w:rsid w:val="00E1150F"/>
    <w:rsid w:val="00E16D7D"/>
    <w:rsid w:val="00E45168"/>
    <w:rsid w:val="00E9640A"/>
    <w:rsid w:val="00EF0541"/>
    <w:rsid w:val="00F05A43"/>
    <w:rsid w:val="00F5069B"/>
    <w:rsid w:val="00F7398C"/>
    <w:rsid w:val="00FA405E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747F5-0BF8-40F1-882F-DCC678F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EE"/>
    <w:pPr>
      <w:ind w:leftChars="200" w:left="480"/>
    </w:pPr>
  </w:style>
  <w:style w:type="character" w:styleId="a4">
    <w:name w:val="Strong"/>
    <w:basedOn w:val="a0"/>
    <w:uiPriority w:val="22"/>
    <w:qFormat/>
    <w:rsid w:val="001322EE"/>
    <w:rPr>
      <w:b/>
      <w:bCs/>
    </w:rPr>
  </w:style>
  <w:style w:type="paragraph" w:styleId="a5">
    <w:name w:val="header"/>
    <w:basedOn w:val="a"/>
    <w:link w:val="a6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B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5B84"/>
    <w:pPr>
      <w:widowControl w:val="0"/>
      <w:autoSpaceDE w:val="0"/>
      <w:autoSpaceDN w:val="0"/>
      <w:adjustRightInd w:val="0"/>
    </w:pPr>
    <w:rPr>
      <w:rFonts w:ascii="標楷體a─." w:eastAsia="標楷體a─." w:cs="標楷體a─."/>
      <w:color w:val="000000"/>
      <w:kern w:val="0"/>
      <w:szCs w:val="24"/>
    </w:rPr>
  </w:style>
  <w:style w:type="table" w:styleId="ab">
    <w:name w:val="Table Grid"/>
    <w:basedOn w:val="a1"/>
    <w:uiPriority w:val="39"/>
    <w:rsid w:val="00DA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807A5"/>
    <w:rPr>
      <w:color w:val="808080"/>
    </w:rPr>
  </w:style>
  <w:style w:type="character" w:styleId="ad">
    <w:name w:val="Hyperlink"/>
    <w:basedOn w:val="a0"/>
    <w:uiPriority w:val="99"/>
    <w:semiHidden/>
    <w:unhideWhenUsed/>
    <w:rsid w:val="00A37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D40-4557-4556-9449-A4291494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管院秘書</dc:creator>
  <cp:lastModifiedBy>管院秘書</cp:lastModifiedBy>
  <cp:revision>2</cp:revision>
  <cp:lastPrinted>2018-05-04T08:08:00Z</cp:lastPrinted>
  <dcterms:created xsi:type="dcterms:W3CDTF">2018-05-30T02:07:00Z</dcterms:created>
  <dcterms:modified xsi:type="dcterms:W3CDTF">2018-05-30T02:07:00Z</dcterms:modified>
</cp:coreProperties>
</file>