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C4F" w:rsidRPr="000F4458" w:rsidRDefault="00FA2C4F" w:rsidP="00FA2C4F">
      <w:pPr>
        <w:jc w:val="center"/>
        <w:rPr>
          <w:rFonts w:ascii="標楷體" w:eastAsia="標楷體" w:hAnsi="標楷體"/>
          <w:b/>
          <w:sz w:val="32"/>
          <w:szCs w:val="32"/>
        </w:rPr>
      </w:pPr>
      <w:r w:rsidRPr="000F4458">
        <w:rPr>
          <w:rFonts w:ascii="標楷體" w:eastAsia="標楷體" w:hAnsi="標楷體" w:hint="eastAsia"/>
          <w:b/>
          <w:sz w:val="32"/>
          <w:szCs w:val="32"/>
        </w:rPr>
        <w:t>國立中山大學管理學院</w:t>
      </w:r>
      <w:bookmarkStart w:id="0" w:name="_GoBack"/>
      <w:bookmarkEnd w:id="0"/>
      <w:r w:rsidRPr="000F4458">
        <w:rPr>
          <w:rFonts w:ascii="標楷體" w:eastAsia="標楷體" w:hAnsi="標楷體" w:hint="eastAsia"/>
          <w:b/>
          <w:sz w:val="32"/>
          <w:szCs w:val="32"/>
        </w:rPr>
        <w:t>新聘助理教授、副教授第一次評鑑實施要點</w:t>
      </w:r>
    </w:p>
    <w:p w:rsidR="00F1359E" w:rsidRPr="0014015E" w:rsidRDefault="00F1359E" w:rsidP="00F1359E">
      <w:pPr>
        <w:wordWrap w:val="0"/>
        <w:jc w:val="right"/>
        <w:rPr>
          <w:rFonts w:ascii="標楷體" w:eastAsia="標楷體" w:hAnsi="標楷體"/>
          <w:sz w:val="20"/>
          <w:szCs w:val="20"/>
        </w:rPr>
      </w:pPr>
      <w:r w:rsidRPr="0014015E">
        <w:rPr>
          <w:rFonts w:ascii="標楷體" w:eastAsia="標楷體" w:hAnsi="標楷體" w:hint="eastAsia"/>
          <w:sz w:val="20"/>
          <w:szCs w:val="20"/>
        </w:rPr>
        <w:t>109.05.12 108學年度第4次院務會議通過</w:t>
      </w:r>
    </w:p>
    <w:p w:rsidR="00F1359E" w:rsidRPr="0014015E" w:rsidRDefault="00F1359E" w:rsidP="00F1359E">
      <w:pPr>
        <w:wordWrap w:val="0"/>
        <w:jc w:val="right"/>
        <w:rPr>
          <w:rFonts w:ascii="標楷體" w:eastAsia="標楷體" w:hAnsi="標楷體"/>
          <w:sz w:val="20"/>
          <w:szCs w:val="20"/>
        </w:rPr>
      </w:pPr>
      <w:r w:rsidRPr="0014015E">
        <w:rPr>
          <w:rFonts w:ascii="標楷體" w:eastAsia="標楷體" w:hAnsi="標楷體" w:hint="eastAsia"/>
          <w:sz w:val="20"/>
          <w:szCs w:val="20"/>
        </w:rPr>
        <w:t>109.06.11 108學年第400次校教評會通過</w:t>
      </w:r>
    </w:p>
    <w:p w:rsidR="00FA2C4F" w:rsidRPr="00A97D6E" w:rsidRDefault="00FA2C4F" w:rsidP="00FA2C4F">
      <w:pPr>
        <w:pStyle w:val="Default"/>
        <w:spacing w:beforeLines="50" w:before="180" w:line="340" w:lineRule="exact"/>
        <w:ind w:left="566" w:hangingChars="202" w:hanging="566"/>
        <w:jc w:val="both"/>
        <w:rPr>
          <w:color w:val="auto"/>
          <w:sz w:val="26"/>
          <w:szCs w:val="26"/>
        </w:rPr>
      </w:pPr>
      <w:r w:rsidRPr="00B11FC4">
        <w:rPr>
          <w:rFonts w:hint="eastAsia"/>
          <w:color w:val="auto"/>
          <w:sz w:val="28"/>
          <w:szCs w:val="28"/>
        </w:rPr>
        <w:t>一、</w:t>
      </w:r>
      <w:r w:rsidRPr="00A97D6E">
        <w:rPr>
          <w:rFonts w:hint="eastAsia"/>
          <w:color w:val="auto"/>
          <w:sz w:val="26"/>
          <w:szCs w:val="26"/>
        </w:rPr>
        <w:t>國立中山大學管理學院(</w:t>
      </w:r>
      <w:r w:rsidRPr="00A97D6E">
        <w:rPr>
          <w:rFonts w:hint="eastAsia"/>
          <w:color w:val="auto"/>
          <w:sz w:val="26"/>
          <w:szCs w:val="26"/>
          <w:lang w:eastAsia="zh-HK"/>
        </w:rPr>
        <w:t>以下簡稱</w:t>
      </w:r>
      <w:r w:rsidRPr="00A97D6E">
        <w:rPr>
          <w:rFonts w:hAnsi="標楷體" w:hint="eastAsia"/>
          <w:color w:val="auto"/>
          <w:sz w:val="26"/>
          <w:szCs w:val="26"/>
          <w:lang w:eastAsia="zh-HK"/>
        </w:rPr>
        <w:t>「</w:t>
      </w:r>
      <w:r w:rsidRPr="00A97D6E">
        <w:rPr>
          <w:rFonts w:hint="eastAsia"/>
          <w:color w:val="auto"/>
          <w:sz w:val="26"/>
          <w:szCs w:val="26"/>
          <w:lang w:eastAsia="zh-HK"/>
        </w:rPr>
        <w:t>本院</w:t>
      </w:r>
      <w:r w:rsidRPr="00A97D6E">
        <w:rPr>
          <w:rFonts w:hAnsi="標楷體" w:hint="eastAsia"/>
          <w:color w:val="auto"/>
          <w:sz w:val="26"/>
          <w:szCs w:val="26"/>
          <w:lang w:eastAsia="zh-HK"/>
        </w:rPr>
        <w:t>」</w:t>
      </w:r>
      <w:r w:rsidRPr="00A97D6E">
        <w:rPr>
          <w:rFonts w:hint="eastAsia"/>
          <w:color w:val="auto"/>
          <w:sz w:val="26"/>
          <w:szCs w:val="26"/>
          <w:lang w:eastAsia="zh-HK"/>
        </w:rPr>
        <w:t>)</w:t>
      </w:r>
      <w:r w:rsidRPr="00A97D6E">
        <w:rPr>
          <w:rFonts w:hint="eastAsia"/>
          <w:color w:val="auto"/>
          <w:sz w:val="26"/>
          <w:szCs w:val="26"/>
        </w:rPr>
        <w:t>為提昇</w:t>
      </w:r>
      <w:r w:rsidRPr="00A97D6E">
        <w:rPr>
          <w:rFonts w:hint="eastAsia"/>
          <w:color w:val="auto"/>
          <w:sz w:val="26"/>
          <w:szCs w:val="26"/>
          <w:lang w:eastAsia="zh-HK"/>
        </w:rPr>
        <w:t>本院</w:t>
      </w:r>
      <w:r w:rsidRPr="00A97D6E">
        <w:rPr>
          <w:rFonts w:hint="eastAsia"/>
          <w:color w:val="auto"/>
          <w:sz w:val="26"/>
          <w:szCs w:val="26"/>
        </w:rPr>
        <w:t>教師教學、研究、輔導及服務品質，辦理教師評鑑事宜，依本校教師評鑑辦法特設置</w:t>
      </w:r>
      <w:r w:rsidRPr="00A97D6E">
        <w:rPr>
          <w:rFonts w:hint="eastAsia"/>
          <w:color w:val="auto"/>
          <w:sz w:val="26"/>
          <w:szCs w:val="26"/>
          <w:lang w:eastAsia="zh-HK"/>
        </w:rPr>
        <w:t>本</w:t>
      </w:r>
      <w:r w:rsidRPr="00A97D6E">
        <w:rPr>
          <w:rFonts w:hint="eastAsia"/>
          <w:color w:val="auto"/>
          <w:sz w:val="26"/>
          <w:szCs w:val="26"/>
        </w:rPr>
        <w:t>院教師評鑑實施要點。</w:t>
      </w:r>
    </w:p>
    <w:p w:rsidR="00FA2C4F" w:rsidRPr="00A97D6E" w:rsidRDefault="00FA2C4F" w:rsidP="00FA2C4F">
      <w:pPr>
        <w:pStyle w:val="Default"/>
        <w:spacing w:beforeLines="50" w:before="180" w:line="340" w:lineRule="exact"/>
        <w:ind w:left="525" w:hangingChars="202" w:hanging="525"/>
        <w:jc w:val="both"/>
        <w:rPr>
          <w:color w:val="auto"/>
          <w:sz w:val="26"/>
          <w:szCs w:val="26"/>
        </w:rPr>
      </w:pPr>
      <w:r w:rsidRPr="00A97D6E">
        <w:rPr>
          <w:rFonts w:hint="eastAsia"/>
          <w:color w:val="auto"/>
          <w:sz w:val="26"/>
          <w:szCs w:val="26"/>
        </w:rPr>
        <w:t>二、適用對象：</w:t>
      </w:r>
    </w:p>
    <w:p w:rsidR="00FA2C4F" w:rsidRPr="00A97D6E" w:rsidRDefault="00FA2C4F" w:rsidP="00FA2C4F">
      <w:pPr>
        <w:pStyle w:val="Default"/>
        <w:spacing w:line="340" w:lineRule="exact"/>
        <w:ind w:leftChars="235" w:left="564" w:firstLine="1"/>
        <w:jc w:val="both"/>
        <w:rPr>
          <w:color w:val="auto"/>
          <w:sz w:val="26"/>
          <w:szCs w:val="26"/>
        </w:rPr>
      </w:pPr>
      <w:r w:rsidRPr="00A97D6E">
        <w:rPr>
          <w:rFonts w:hint="eastAsia"/>
          <w:color w:val="auto"/>
          <w:sz w:val="26"/>
          <w:szCs w:val="26"/>
        </w:rPr>
        <w:t>本院自109學年起新聘編制內助理教授、副教授於第一次接受評鑑時適用本要點。</w:t>
      </w:r>
    </w:p>
    <w:p w:rsidR="00FA2C4F" w:rsidRPr="00A97D6E" w:rsidRDefault="00FA2C4F" w:rsidP="00FA2C4F">
      <w:pPr>
        <w:pStyle w:val="Default"/>
        <w:spacing w:beforeLines="50" w:before="180" w:line="340" w:lineRule="exact"/>
        <w:ind w:left="525" w:hangingChars="202" w:hanging="525"/>
        <w:jc w:val="both"/>
        <w:rPr>
          <w:color w:val="auto"/>
          <w:sz w:val="26"/>
          <w:szCs w:val="26"/>
          <w:lang w:eastAsia="zh-HK"/>
        </w:rPr>
      </w:pPr>
      <w:r w:rsidRPr="00A97D6E">
        <w:rPr>
          <w:rFonts w:hint="eastAsia"/>
          <w:color w:val="auto"/>
          <w:sz w:val="26"/>
          <w:szCs w:val="26"/>
        </w:rPr>
        <w:t>三</w:t>
      </w:r>
      <w:r w:rsidRPr="00A97D6E">
        <w:rPr>
          <w:rFonts w:hint="eastAsia"/>
          <w:color w:val="auto"/>
          <w:sz w:val="26"/>
          <w:szCs w:val="26"/>
          <w:lang w:eastAsia="zh-HK"/>
        </w:rPr>
        <w:t>、</w:t>
      </w:r>
      <w:r w:rsidRPr="00A97D6E">
        <w:rPr>
          <w:rFonts w:hint="eastAsia"/>
          <w:color w:val="auto"/>
          <w:sz w:val="26"/>
          <w:szCs w:val="26"/>
        </w:rPr>
        <w:t>評鑑程序：</w:t>
      </w:r>
    </w:p>
    <w:p w:rsidR="00FA2C4F" w:rsidRPr="00A97D6E" w:rsidRDefault="00FA2C4F" w:rsidP="00FA2C4F">
      <w:pPr>
        <w:pStyle w:val="Default"/>
        <w:spacing w:line="340" w:lineRule="exact"/>
        <w:ind w:leftChars="235" w:left="564" w:firstLine="1"/>
        <w:jc w:val="both"/>
        <w:rPr>
          <w:color w:val="auto"/>
          <w:sz w:val="26"/>
          <w:szCs w:val="26"/>
          <w:lang w:eastAsia="zh-HK"/>
        </w:rPr>
      </w:pPr>
      <w:r w:rsidRPr="00A97D6E">
        <w:rPr>
          <w:rFonts w:hint="eastAsia"/>
          <w:color w:val="auto"/>
          <w:sz w:val="26"/>
          <w:szCs w:val="26"/>
          <w:lang w:eastAsia="zh-HK"/>
        </w:rPr>
        <w:t>本院受評教師應配合本院教師評審委員會議時間提供教師個人評鑑資料，</w:t>
      </w:r>
      <w:r w:rsidRPr="00A97D6E">
        <w:rPr>
          <w:rFonts w:hint="eastAsia"/>
          <w:color w:val="auto"/>
          <w:sz w:val="26"/>
          <w:szCs w:val="26"/>
        </w:rPr>
        <w:t>提經院教評會審定後，</w:t>
      </w:r>
      <w:r w:rsidRPr="00A97D6E">
        <w:rPr>
          <w:rFonts w:hint="eastAsia"/>
          <w:color w:val="auto"/>
          <w:sz w:val="26"/>
          <w:szCs w:val="26"/>
          <w:lang w:eastAsia="zh-HK"/>
        </w:rPr>
        <w:t>續依本校教師評鑑辦法及本校教師評鑑作業細則組成教師評鑑委員會與辦理評鑑作業。</w:t>
      </w:r>
    </w:p>
    <w:p w:rsidR="00FA2C4F" w:rsidRPr="00A97D6E" w:rsidRDefault="00FA2C4F" w:rsidP="00FA2C4F">
      <w:pPr>
        <w:pStyle w:val="Default"/>
        <w:spacing w:beforeLines="50" w:before="180" w:line="340" w:lineRule="exact"/>
        <w:ind w:left="525" w:hangingChars="202" w:hanging="525"/>
        <w:jc w:val="both"/>
        <w:rPr>
          <w:color w:val="auto"/>
          <w:sz w:val="26"/>
          <w:szCs w:val="26"/>
        </w:rPr>
      </w:pPr>
      <w:r w:rsidRPr="00A97D6E">
        <w:rPr>
          <w:rFonts w:hint="eastAsia"/>
          <w:color w:val="auto"/>
          <w:sz w:val="26"/>
          <w:szCs w:val="26"/>
        </w:rPr>
        <w:t>四、評鑑年限、評鑑項目、通過標準：</w:t>
      </w:r>
    </w:p>
    <w:p w:rsidR="00FA2C4F" w:rsidRPr="00A97D6E" w:rsidRDefault="00FA2C4F" w:rsidP="00FA2C4F">
      <w:pPr>
        <w:pStyle w:val="Default"/>
        <w:spacing w:line="340" w:lineRule="exact"/>
        <w:ind w:left="788" w:hangingChars="303" w:hanging="788"/>
        <w:jc w:val="both"/>
        <w:rPr>
          <w:color w:val="auto"/>
          <w:sz w:val="26"/>
          <w:szCs w:val="26"/>
        </w:rPr>
      </w:pPr>
      <w:r w:rsidRPr="00A97D6E">
        <w:rPr>
          <w:rFonts w:hint="eastAsia"/>
          <w:color w:val="auto"/>
          <w:sz w:val="26"/>
          <w:szCs w:val="26"/>
        </w:rPr>
        <w:t>（一）評鑑年限：新</w:t>
      </w:r>
      <w:r w:rsidRPr="00A97D6E">
        <w:rPr>
          <w:rFonts w:hint="eastAsia"/>
          <w:color w:val="auto"/>
          <w:sz w:val="26"/>
          <w:szCs w:val="26"/>
          <w:lang w:eastAsia="zh-HK"/>
        </w:rPr>
        <w:t>聘專任教師除符合</w:t>
      </w:r>
      <w:r w:rsidRPr="00A97D6E">
        <w:rPr>
          <w:rFonts w:hint="eastAsia"/>
          <w:color w:val="auto"/>
          <w:sz w:val="26"/>
          <w:szCs w:val="26"/>
        </w:rPr>
        <w:t>本校教師評鑑辦法</w:t>
      </w:r>
      <w:r w:rsidRPr="00A97D6E">
        <w:rPr>
          <w:rFonts w:hint="eastAsia"/>
          <w:color w:val="auto"/>
          <w:sz w:val="26"/>
          <w:szCs w:val="26"/>
          <w:lang w:eastAsia="zh-HK"/>
        </w:rPr>
        <w:t>免評</w:t>
      </w:r>
      <w:r w:rsidRPr="00A97D6E">
        <w:rPr>
          <w:rFonts w:hint="eastAsia"/>
          <w:color w:val="auto"/>
          <w:sz w:val="26"/>
          <w:szCs w:val="26"/>
        </w:rPr>
        <w:t>、</w:t>
      </w:r>
      <w:r w:rsidRPr="00A97D6E">
        <w:rPr>
          <w:rFonts w:hint="eastAsia"/>
          <w:color w:val="auto"/>
          <w:sz w:val="26"/>
          <w:szCs w:val="26"/>
          <w:lang w:eastAsia="zh-HK"/>
        </w:rPr>
        <w:t>或延後評鑑等規定外</w:t>
      </w:r>
      <w:r w:rsidRPr="00A97D6E">
        <w:rPr>
          <w:rFonts w:hint="eastAsia"/>
          <w:color w:val="auto"/>
          <w:sz w:val="26"/>
          <w:szCs w:val="26"/>
        </w:rPr>
        <w:t>，任教滿五年應接受教師評鑑。</w:t>
      </w:r>
    </w:p>
    <w:p w:rsidR="00FA2C4F" w:rsidRPr="00A97D6E" w:rsidRDefault="00FA2C4F" w:rsidP="00FA2C4F">
      <w:pPr>
        <w:pStyle w:val="Default"/>
        <w:spacing w:line="340" w:lineRule="exact"/>
        <w:ind w:left="788" w:hangingChars="303" w:hanging="788"/>
        <w:jc w:val="both"/>
        <w:rPr>
          <w:color w:val="auto"/>
          <w:sz w:val="26"/>
          <w:szCs w:val="26"/>
        </w:rPr>
      </w:pPr>
      <w:r w:rsidRPr="00A97D6E">
        <w:rPr>
          <w:rFonts w:hint="eastAsia"/>
          <w:color w:val="auto"/>
          <w:sz w:val="26"/>
          <w:szCs w:val="26"/>
        </w:rPr>
        <w:t>（二）評鑑項目：新聘專任教師任教滿五年者，應配合應接受第一次評鑑，分為研究、教學、及服務三大項目，本院新進教師評鑑指標計分表如附件1。</w:t>
      </w:r>
    </w:p>
    <w:p w:rsidR="00FA2C4F" w:rsidRPr="00A97D6E" w:rsidRDefault="00FA2C4F" w:rsidP="00FA2C4F">
      <w:pPr>
        <w:pStyle w:val="Default"/>
        <w:spacing w:line="340" w:lineRule="exact"/>
        <w:ind w:left="788" w:hangingChars="303" w:hanging="788"/>
        <w:jc w:val="both"/>
        <w:rPr>
          <w:color w:val="auto"/>
          <w:sz w:val="26"/>
          <w:szCs w:val="26"/>
        </w:rPr>
      </w:pPr>
      <w:r w:rsidRPr="00A97D6E">
        <w:rPr>
          <w:rFonts w:hint="eastAsia"/>
          <w:color w:val="auto"/>
          <w:sz w:val="26"/>
          <w:szCs w:val="26"/>
        </w:rPr>
        <w:t>（三）通過標準：新聘專任教師三大評鑑項目均應達七十分，且研究項目應至少有三件科技部專題研究計畫或教育部教學實踐研究計畫，並須以第一作者或通訊作者發表收錄於SCIE、S</w:t>
      </w:r>
      <w:r w:rsidRPr="00A97D6E">
        <w:rPr>
          <w:color w:val="auto"/>
          <w:sz w:val="26"/>
          <w:szCs w:val="26"/>
        </w:rPr>
        <w:t>SCI</w:t>
      </w:r>
      <w:r w:rsidRPr="00A97D6E">
        <w:rPr>
          <w:rFonts w:hint="eastAsia"/>
          <w:color w:val="auto"/>
          <w:sz w:val="26"/>
          <w:szCs w:val="26"/>
        </w:rPr>
        <w:t>、A</w:t>
      </w:r>
      <w:r w:rsidRPr="00A97D6E">
        <w:rPr>
          <w:color w:val="auto"/>
          <w:sz w:val="26"/>
          <w:szCs w:val="26"/>
        </w:rPr>
        <w:t>HCI</w:t>
      </w:r>
      <w:r w:rsidRPr="00A97D6E">
        <w:rPr>
          <w:rFonts w:hint="eastAsia"/>
          <w:color w:val="auto"/>
          <w:sz w:val="26"/>
          <w:szCs w:val="26"/>
        </w:rPr>
        <w:t>及TSSCI之期刊論文始為通過評鑑。</w:t>
      </w:r>
    </w:p>
    <w:p w:rsidR="00FA2C4F" w:rsidRPr="00A97D6E" w:rsidRDefault="00FA2C4F" w:rsidP="00FA2C4F">
      <w:pPr>
        <w:pStyle w:val="Default"/>
        <w:spacing w:beforeLines="50" w:before="180" w:line="340" w:lineRule="exact"/>
        <w:ind w:left="525" w:hangingChars="202" w:hanging="525"/>
        <w:jc w:val="both"/>
        <w:rPr>
          <w:color w:val="auto"/>
          <w:sz w:val="26"/>
          <w:szCs w:val="26"/>
        </w:rPr>
      </w:pPr>
      <w:r w:rsidRPr="00A97D6E">
        <w:rPr>
          <w:rFonts w:hint="eastAsia"/>
          <w:color w:val="auto"/>
          <w:sz w:val="26"/>
          <w:szCs w:val="26"/>
        </w:rPr>
        <w:t>五、輔導機制：</w:t>
      </w:r>
    </w:p>
    <w:p w:rsidR="00FA2C4F" w:rsidRPr="00A97D6E" w:rsidRDefault="00FA2C4F" w:rsidP="00FA2C4F">
      <w:pPr>
        <w:pStyle w:val="Default"/>
        <w:spacing w:line="340" w:lineRule="exact"/>
        <w:ind w:left="523" w:hangingChars="201" w:hanging="523"/>
        <w:jc w:val="both"/>
        <w:rPr>
          <w:color w:val="auto"/>
          <w:sz w:val="26"/>
          <w:szCs w:val="26"/>
        </w:rPr>
      </w:pPr>
      <w:r w:rsidRPr="00A97D6E">
        <w:rPr>
          <w:rFonts w:hint="eastAsia"/>
          <w:color w:val="auto"/>
          <w:sz w:val="26"/>
          <w:szCs w:val="26"/>
        </w:rPr>
        <w:t>(一</w:t>
      </w:r>
      <w:r w:rsidRPr="00A97D6E">
        <w:rPr>
          <w:rFonts w:hAnsi="標楷體" w:cs="Arial" w:hint="eastAsia"/>
          <w:sz w:val="26"/>
          <w:szCs w:val="26"/>
        </w:rPr>
        <w:t>)新聘專任教師任教滿三年者，應綜合</w:t>
      </w:r>
      <w:r w:rsidRPr="00A97D6E">
        <w:rPr>
          <w:rFonts w:hint="eastAsia"/>
          <w:color w:val="auto"/>
          <w:sz w:val="26"/>
          <w:szCs w:val="26"/>
        </w:rPr>
        <w:t>教學、研究、輔導及服務三大評鑑項目，</w:t>
      </w:r>
      <w:r w:rsidRPr="00A97D6E">
        <w:rPr>
          <w:rFonts w:hAnsi="標楷體" w:cs="Arial" w:hint="eastAsia"/>
          <w:sz w:val="26"/>
          <w:szCs w:val="26"/>
        </w:rPr>
        <w:t>由受評教師依評鑑指標計分表提出書面資料，送所屬系所教評審查，</w:t>
      </w:r>
      <w:r w:rsidRPr="00A97D6E">
        <w:rPr>
          <w:rFonts w:hAnsi="標楷體" w:cs="Arial" w:hint="eastAsia"/>
          <w:color w:val="auto"/>
          <w:kern w:val="2"/>
          <w:sz w:val="26"/>
          <w:szCs w:val="26"/>
        </w:rPr>
        <w:t>系所教評會應就其說明內容進行職涯評量並給予具體建議，並提院教評報告</w:t>
      </w:r>
      <w:r w:rsidRPr="00A97D6E">
        <w:rPr>
          <w:rFonts w:hAnsi="標楷體" w:cs="Arial" w:hint="eastAsia"/>
          <w:sz w:val="26"/>
          <w:szCs w:val="26"/>
        </w:rPr>
        <w:t>，並就其</w:t>
      </w:r>
      <w:r w:rsidRPr="00A97D6E">
        <w:rPr>
          <w:rFonts w:hAnsi="標楷體" w:cs="Arial" w:hint="eastAsia"/>
          <w:color w:val="auto"/>
          <w:kern w:val="2"/>
          <w:sz w:val="26"/>
          <w:szCs w:val="26"/>
        </w:rPr>
        <w:t>教學、研究、服務方向所提出之改善建議</w:t>
      </w:r>
      <w:r w:rsidRPr="00A97D6E">
        <w:rPr>
          <w:rFonts w:hAnsi="標楷體" w:cs="Arial" w:hint="eastAsia"/>
          <w:sz w:val="26"/>
          <w:szCs w:val="26"/>
        </w:rPr>
        <w:t>；如各項成績未達</w:t>
      </w:r>
      <w:r w:rsidRPr="00A97D6E">
        <w:rPr>
          <w:rFonts w:hint="eastAsia"/>
          <w:color w:val="auto"/>
          <w:sz w:val="26"/>
          <w:szCs w:val="26"/>
        </w:rPr>
        <w:t>42分者，應由系所啟動輔導機制，由系所主管指派與該受評教師相近領域教師1-2位擔任該名教師輔導人員，並作成紀錄。</w:t>
      </w:r>
    </w:p>
    <w:p w:rsidR="00FA2C4F" w:rsidRPr="00A97D6E" w:rsidRDefault="00FA2C4F" w:rsidP="00FA2C4F">
      <w:pPr>
        <w:pStyle w:val="Default"/>
        <w:spacing w:line="340" w:lineRule="exact"/>
        <w:ind w:left="523" w:hangingChars="201" w:hanging="523"/>
        <w:jc w:val="both"/>
        <w:rPr>
          <w:rFonts w:hAnsi="標楷體" w:cs="Arial"/>
          <w:sz w:val="26"/>
          <w:szCs w:val="26"/>
        </w:rPr>
      </w:pPr>
      <w:r w:rsidRPr="00A97D6E">
        <w:rPr>
          <w:rFonts w:hAnsi="標楷體" w:cstheme="minorBidi" w:hint="eastAsia"/>
          <w:color w:val="auto"/>
          <w:kern w:val="2"/>
          <w:sz w:val="26"/>
          <w:szCs w:val="26"/>
        </w:rPr>
        <w:t>(二)經初</w:t>
      </w:r>
      <w:r w:rsidRPr="00A97D6E">
        <w:rPr>
          <w:rFonts w:hAnsi="標楷體" w:cs="Arial" w:hint="eastAsia"/>
          <w:sz w:val="26"/>
          <w:szCs w:val="26"/>
        </w:rPr>
        <w:t>評後為「條件式通過」或「未通過」教師，應依其評鑑項目表現，接受系所啟動之輔導機制，</w:t>
      </w:r>
      <w:r w:rsidRPr="00A97D6E">
        <w:rPr>
          <w:rFonts w:hint="eastAsia"/>
          <w:color w:val="auto"/>
          <w:sz w:val="26"/>
          <w:szCs w:val="26"/>
        </w:rPr>
        <w:t>由系所主管指派與該受評教師相近領域教師1-2位擔任該名教師輔導人員</w:t>
      </w:r>
      <w:r w:rsidRPr="00A97D6E">
        <w:rPr>
          <w:rFonts w:hAnsi="標楷體" w:cs="Arial" w:hint="eastAsia"/>
          <w:sz w:val="26"/>
          <w:szCs w:val="26"/>
        </w:rPr>
        <w:t>。</w:t>
      </w:r>
    </w:p>
    <w:p w:rsidR="00FA2C4F" w:rsidRPr="00A97D6E" w:rsidRDefault="00FA2C4F" w:rsidP="00FA2C4F">
      <w:pPr>
        <w:pStyle w:val="Default"/>
        <w:spacing w:line="340" w:lineRule="exact"/>
        <w:ind w:left="523" w:hangingChars="201" w:hanging="523"/>
        <w:jc w:val="both"/>
        <w:rPr>
          <w:rFonts w:hAnsi="標楷體"/>
          <w:sz w:val="26"/>
          <w:szCs w:val="26"/>
        </w:rPr>
      </w:pPr>
      <w:r w:rsidRPr="00A97D6E">
        <w:rPr>
          <w:rFonts w:hAnsi="標楷體" w:cs="Arial" w:hint="eastAsia"/>
          <w:sz w:val="26"/>
          <w:szCs w:val="26"/>
        </w:rPr>
        <w:t>(三)「條件式通過」教師輔導期間至間隔一學年後之一月底止，「未</w:t>
      </w:r>
      <w:r w:rsidRPr="00A97D6E">
        <w:rPr>
          <w:rFonts w:hAnsi="標楷體" w:hint="eastAsia"/>
          <w:sz w:val="26"/>
          <w:szCs w:val="26"/>
        </w:rPr>
        <w:t>通過」教師輔導期間至次學年一月底止，並將輔導過程作成紀錄，該紀錄送交系教評會及院教評會備查。</w:t>
      </w:r>
    </w:p>
    <w:p w:rsidR="00FA2C4F" w:rsidRPr="00A97D6E" w:rsidRDefault="00FA2C4F" w:rsidP="00FA2C4F">
      <w:pPr>
        <w:pStyle w:val="Default"/>
        <w:spacing w:line="340" w:lineRule="exact"/>
        <w:ind w:left="523" w:hangingChars="201" w:hanging="523"/>
        <w:jc w:val="both"/>
        <w:rPr>
          <w:color w:val="auto"/>
          <w:sz w:val="26"/>
          <w:szCs w:val="26"/>
        </w:rPr>
      </w:pPr>
      <w:r w:rsidRPr="00A97D6E">
        <w:rPr>
          <w:rFonts w:hAnsi="標楷體" w:hint="eastAsia"/>
          <w:sz w:val="26"/>
          <w:szCs w:val="26"/>
        </w:rPr>
        <w:t>(四)</w:t>
      </w:r>
      <w:r>
        <w:rPr>
          <w:rFonts w:ascii="新細明體" w:eastAsia="新細明體" w:hAnsi="新細明體" w:hint="eastAsia"/>
          <w:sz w:val="26"/>
          <w:szCs w:val="26"/>
        </w:rPr>
        <w:t>「</w:t>
      </w:r>
      <w:r w:rsidRPr="00A97D6E">
        <w:rPr>
          <w:rFonts w:hAnsi="標楷體" w:hint="eastAsia"/>
          <w:sz w:val="26"/>
          <w:szCs w:val="26"/>
        </w:rPr>
        <w:t>條件式通過」與「未通過」之教師於輔導期間結束後，應提交其改善方案/事項成效報告書至原教師評鑑委員會審議是否通過，再送交教務處彙整後送校教評決議。</w:t>
      </w:r>
    </w:p>
    <w:p w:rsidR="00FA2C4F" w:rsidRPr="00A97D6E" w:rsidRDefault="00FA2C4F" w:rsidP="00FA2C4F">
      <w:pPr>
        <w:pStyle w:val="Default"/>
        <w:spacing w:beforeLines="50" w:before="180" w:line="340" w:lineRule="exact"/>
        <w:ind w:left="525" w:hangingChars="202" w:hanging="525"/>
        <w:jc w:val="both"/>
        <w:rPr>
          <w:color w:val="auto"/>
          <w:sz w:val="26"/>
          <w:szCs w:val="26"/>
        </w:rPr>
      </w:pPr>
      <w:r w:rsidRPr="00A97D6E">
        <w:rPr>
          <w:rFonts w:hint="eastAsia"/>
          <w:color w:val="auto"/>
          <w:sz w:val="26"/>
          <w:szCs w:val="26"/>
        </w:rPr>
        <w:t>六、</w:t>
      </w:r>
      <w:r w:rsidRPr="00A97D6E">
        <w:rPr>
          <w:rFonts w:hAnsi="標楷體" w:hint="eastAsia"/>
          <w:sz w:val="26"/>
          <w:szCs w:val="26"/>
        </w:rPr>
        <w:t>本要點未竟事宜悉依</w:t>
      </w:r>
      <w:r w:rsidRPr="00A97D6E">
        <w:rPr>
          <w:rFonts w:hint="eastAsia"/>
          <w:color w:val="auto"/>
          <w:sz w:val="26"/>
          <w:szCs w:val="26"/>
        </w:rPr>
        <w:t>本校教師評鑑辦法及本校教師評鑑作業細則規定。</w:t>
      </w:r>
    </w:p>
    <w:p w:rsidR="00FA2C4F" w:rsidRPr="00A97D6E" w:rsidRDefault="00FA2C4F" w:rsidP="00FA2C4F">
      <w:pPr>
        <w:pStyle w:val="Default"/>
        <w:spacing w:beforeLines="50" w:before="180" w:line="340" w:lineRule="exact"/>
        <w:ind w:left="525" w:hangingChars="202" w:hanging="525"/>
        <w:jc w:val="both"/>
        <w:rPr>
          <w:color w:val="auto"/>
          <w:sz w:val="26"/>
          <w:szCs w:val="26"/>
        </w:rPr>
      </w:pPr>
      <w:r w:rsidRPr="00A97D6E">
        <w:rPr>
          <w:rFonts w:hint="eastAsia"/>
          <w:color w:val="auto"/>
          <w:sz w:val="26"/>
          <w:szCs w:val="26"/>
        </w:rPr>
        <w:t>七、本要點經本院院教師評審委員會、院務會議、校教師評審委員會審查通過後實施，修正時亦同。</w:t>
      </w:r>
    </w:p>
    <w:p w:rsidR="00FA2C4F" w:rsidRDefault="00FA2C4F" w:rsidP="00FA2C4F">
      <w:pPr>
        <w:widowControl/>
        <w:rPr>
          <w:rFonts w:ascii="標楷體" w:eastAsia="標楷體" w:cs="標楷體"/>
          <w:kern w:val="0"/>
          <w:sz w:val="28"/>
          <w:szCs w:val="28"/>
        </w:rPr>
      </w:pPr>
      <w:r>
        <w:rPr>
          <w:rFonts w:ascii="標楷體" w:eastAsia="標楷體" w:cs="標楷體"/>
          <w:kern w:val="0"/>
          <w:sz w:val="28"/>
          <w:szCs w:val="28"/>
        </w:rPr>
        <w:br w:type="page"/>
      </w:r>
    </w:p>
    <w:p w:rsidR="00FA2C4F" w:rsidRDefault="000C731B" w:rsidP="00FA2C4F">
      <w:pPr>
        <w:widowControl/>
        <w:jc w:val="center"/>
        <w:rPr>
          <w:rFonts w:ascii="標楷體" w:eastAsia="標楷體" w:cs="標楷體"/>
          <w:kern w:val="0"/>
          <w:sz w:val="28"/>
          <w:szCs w:val="28"/>
        </w:rPr>
      </w:pPr>
      <w:r>
        <w:rPr>
          <w:rFonts w:ascii="標楷體" w:eastAsia="標楷體" w:cs="標楷體" w:hint="eastAsia"/>
          <w:kern w:val="0"/>
          <w:sz w:val="28"/>
          <w:szCs w:val="28"/>
        </w:rPr>
        <w:lastRenderedPageBreak/>
        <w:t xml:space="preserve">附件1  </w:t>
      </w:r>
      <w:r w:rsidR="00FA2C4F" w:rsidRPr="0090132B">
        <w:rPr>
          <w:rFonts w:ascii="標楷體" w:eastAsia="標楷體" w:cs="標楷體" w:hint="eastAsia"/>
          <w:kern w:val="0"/>
          <w:sz w:val="28"/>
          <w:szCs w:val="28"/>
        </w:rPr>
        <w:t>國立中山大學教師</w:t>
      </w:r>
      <w:r w:rsidR="00FA2C4F">
        <w:rPr>
          <w:rFonts w:ascii="標楷體" w:eastAsia="標楷體" w:cs="標楷體" w:hint="eastAsia"/>
          <w:kern w:val="0"/>
          <w:sz w:val="28"/>
          <w:szCs w:val="28"/>
        </w:rPr>
        <w:t xml:space="preserve">管理學院　</w:t>
      </w:r>
      <w:r w:rsidR="00FA2C4F" w:rsidRPr="0090132B">
        <w:rPr>
          <w:rFonts w:ascii="標楷體" w:eastAsia="標楷體" w:cs="標楷體" w:hint="eastAsia"/>
          <w:kern w:val="0"/>
          <w:sz w:val="28"/>
          <w:szCs w:val="28"/>
        </w:rPr>
        <w:t>新進教師評鑑指標計分表</w:t>
      </w:r>
    </w:p>
    <w:tbl>
      <w:tblPr>
        <w:tblW w:w="9913" w:type="dxa"/>
        <w:tblCellMar>
          <w:left w:w="28" w:type="dxa"/>
          <w:right w:w="28" w:type="dxa"/>
        </w:tblCellMar>
        <w:tblLook w:val="04A0" w:firstRow="1" w:lastRow="0" w:firstColumn="1" w:lastColumn="0" w:noHBand="0" w:noVBand="1"/>
      </w:tblPr>
      <w:tblGrid>
        <w:gridCol w:w="557"/>
        <w:gridCol w:w="780"/>
        <w:gridCol w:w="520"/>
        <w:gridCol w:w="8056"/>
      </w:tblGrid>
      <w:tr w:rsidR="00FA2C4F" w:rsidRPr="000F74FD" w:rsidTr="001B4130">
        <w:trPr>
          <w:trHeight w:val="109"/>
          <w:tblHeader/>
        </w:trPr>
        <w:tc>
          <w:tcPr>
            <w:tcW w:w="55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A2C4F" w:rsidRPr="00FA2C4F" w:rsidRDefault="00FA2C4F" w:rsidP="001B4130">
            <w:pPr>
              <w:widowControl/>
              <w:spacing w:line="300" w:lineRule="exact"/>
              <w:jc w:val="center"/>
              <w:rPr>
                <w:rFonts w:ascii="標楷體" w:eastAsia="標楷體" w:hAnsi="標楷體" w:cs="新細明體"/>
                <w:bCs/>
                <w:kern w:val="0"/>
                <w:sz w:val="20"/>
                <w:szCs w:val="20"/>
              </w:rPr>
            </w:pPr>
            <w:r w:rsidRPr="00FA2C4F">
              <w:rPr>
                <w:rFonts w:ascii="標楷體" w:eastAsia="標楷體" w:hAnsi="標楷體" w:cs="新細明體" w:hint="eastAsia"/>
                <w:bCs/>
                <w:kern w:val="0"/>
                <w:sz w:val="20"/>
                <w:szCs w:val="20"/>
              </w:rPr>
              <w:t>項目</w:t>
            </w:r>
          </w:p>
        </w:tc>
        <w:tc>
          <w:tcPr>
            <w:tcW w:w="1300" w:type="dxa"/>
            <w:gridSpan w:val="2"/>
            <w:tcBorders>
              <w:top w:val="single" w:sz="8" w:space="0" w:color="auto"/>
              <w:left w:val="nil"/>
              <w:bottom w:val="single" w:sz="4" w:space="0" w:color="auto"/>
              <w:right w:val="single" w:sz="4" w:space="0" w:color="000000"/>
            </w:tcBorders>
            <w:shd w:val="clear" w:color="auto" w:fill="auto"/>
            <w:vAlign w:val="center"/>
            <w:hideMark/>
          </w:tcPr>
          <w:p w:rsidR="00FA2C4F" w:rsidRPr="00FA2C4F" w:rsidRDefault="00FA2C4F" w:rsidP="001B4130">
            <w:pPr>
              <w:widowControl/>
              <w:spacing w:line="300" w:lineRule="exact"/>
              <w:jc w:val="center"/>
              <w:rPr>
                <w:rFonts w:ascii="標楷體" w:eastAsia="標楷體" w:hAnsi="標楷體" w:cs="新細明體"/>
                <w:bCs/>
                <w:kern w:val="0"/>
                <w:sz w:val="20"/>
                <w:szCs w:val="20"/>
              </w:rPr>
            </w:pPr>
            <w:r w:rsidRPr="00FA2C4F">
              <w:rPr>
                <w:rFonts w:ascii="標楷體" w:eastAsia="標楷體" w:hAnsi="標楷體" w:cs="新細明體" w:hint="eastAsia"/>
                <w:bCs/>
                <w:kern w:val="0"/>
                <w:sz w:val="20"/>
                <w:szCs w:val="20"/>
              </w:rPr>
              <w:t>內容</w:t>
            </w:r>
          </w:p>
        </w:tc>
        <w:tc>
          <w:tcPr>
            <w:tcW w:w="8056" w:type="dxa"/>
            <w:tcBorders>
              <w:top w:val="single" w:sz="8" w:space="0" w:color="auto"/>
              <w:left w:val="nil"/>
              <w:bottom w:val="single" w:sz="4" w:space="0" w:color="auto"/>
              <w:right w:val="single" w:sz="8" w:space="0" w:color="auto"/>
            </w:tcBorders>
            <w:shd w:val="clear" w:color="auto" w:fill="auto"/>
            <w:vAlign w:val="center"/>
            <w:hideMark/>
          </w:tcPr>
          <w:p w:rsidR="00FA2C4F" w:rsidRPr="00FA2C4F" w:rsidRDefault="00FA2C4F" w:rsidP="001B4130">
            <w:pPr>
              <w:widowControl/>
              <w:spacing w:line="300" w:lineRule="exact"/>
              <w:jc w:val="center"/>
              <w:rPr>
                <w:rFonts w:ascii="標楷體" w:eastAsia="標楷體" w:hAnsi="標楷體" w:cs="新細明體"/>
                <w:bCs/>
                <w:kern w:val="0"/>
                <w:sz w:val="20"/>
                <w:szCs w:val="20"/>
              </w:rPr>
            </w:pPr>
            <w:r w:rsidRPr="00FA2C4F">
              <w:rPr>
                <w:rFonts w:ascii="標楷體" w:eastAsia="標楷體" w:hAnsi="標楷體" w:cs="新細明體" w:hint="eastAsia"/>
                <w:bCs/>
                <w:kern w:val="0"/>
                <w:sz w:val="20"/>
                <w:szCs w:val="20"/>
              </w:rPr>
              <w:t>評分標準</w:t>
            </w:r>
          </w:p>
        </w:tc>
      </w:tr>
      <w:tr w:rsidR="00FA2C4F" w:rsidRPr="000F74FD" w:rsidTr="001B4130">
        <w:trPr>
          <w:trHeight w:val="270"/>
        </w:trPr>
        <w:tc>
          <w:tcPr>
            <w:tcW w:w="557" w:type="dxa"/>
            <w:vMerge w:val="restart"/>
            <w:tcBorders>
              <w:top w:val="nil"/>
              <w:left w:val="single" w:sz="8" w:space="0" w:color="auto"/>
              <w:bottom w:val="single" w:sz="8" w:space="0" w:color="000000"/>
              <w:right w:val="single" w:sz="4" w:space="0" w:color="auto"/>
            </w:tcBorders>
            <w:shd w:val="clear" w:color="auto" w:fill="auto"/>
            <w:vAlign w:val="center"/>
            <w:hideMark/>
          </w:tcPr>
          <w:p w:rsidR="00FA2C4F" w:rsidRPr="00FA2C4F" w:rsidRDefault="00FA2C4F" w:rsidP="001B4130">
            <w:pPr>
              <w:widowControl/>
              <w:spacing w:line="300" w:lineRule="exact"/>
              <w:jc w:val="center"/>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 xml:space="preserve">A.  </w:t>
            </w:r>
            <w:r w:rsidRPr="00FA2C4F">
              <w:rPr>
                <w:rFonts w:ascii="標楷體" w:eastAsia="標楷體" w:hAnsi="標楷體" w:cs="新細明體" w:hint="eastAsia"/>
                <w:kern w:val="0"/>
                <w:sz w:val="20"/>
                <w:szCs w:val="20"/>
              </w:rPr>
              <w:br/>
              <w:t xml:space="preserve"> 研究</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FA2C4F" w:rsidRPr="00FA2C4F" w:rsidRDefault="00FA2C4F" w:rsidP="001B4130">
            <w:pPr>
              <w:widowControl/>
              <w:spacing w:line="300" w:lineRule="exact"/>
              <w:jc w:val="center"/>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A1論文(參考本</w:t>
            </w:r>
            <w:r w:rsidRPr="00FA2C4F">
              <w:rPr>
                <w:rFonts w:ascii="標楷體" w:eastAsia="標楷體" w:hAnsi="標楷體" w:cs="新細明體" w:hint="eastAsia"/>
                <w:bCs/>
                <w:kern w:val="0"/>
                <w:sz w:val="20"/>
                <w:szCs w:val="20"/>
              </w:rPr>
              <w:t>院研究績優</w:t>
            </w:r>
            <w:r w:rsidRPr="00FA2C4F">
              <w:rPr>
                <w:rFonts w:ascii="標楷體" w:eastAsia="標楷體" w:hAnsi="標楷體" w:cs="新細明體" w:hint="eastAsia"/>
                <w:kern w:val="0"/>
                <w:sz w:val="20"/>
                <w:szCs w:val="20"/>
              </w:rPr>
              <w:t>)</w:t>
            </w:r>
          </w:p>
        </w:tc>
        <w:tc>
          <w:tcPr>
            <w:tcW w:w="8056" w:type="dxa"/>
            <w:tcBorders>
              <w:top w:val="nil"/>
              <w:left w:val="nil"/>
              <w:bottom w:val="single" w:sz="4" w:space="0" w:color="auto"/>
              <w:right w:val="single" w:sz="8" w:space="0" w:color="auto"/>
            </w:tcBorders>
            <w:shd w:val="clear" w:color="000000" w:fill="DAEEF3"/>
            <w:vAlign w:val="center"/>
            <w:hideMark/>
          </w:tcPr>
          <w:p w:rsidR="00FA2C4F" w:rsidRPr="00FA2C4F" w:rsidRDefault="00FA2C4F" w:rsidP="001B4130">
            <w:pPr>
              <w:widowControl/>
              <w:spacing w:line="300" w:lineRule="exact"/>
              <w:jc w:val="both"/>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A11-1、頂尖期刊</w:t>
            </w:r>
            <w:r w:rsidRPr="00FA2C4F">
              <w:rPr>
                <w:rFonts w:ascii="標楷體" w:eastAsia="標楷體" w:hAnsi="標楷體" w:cs="新細明體" w:hint="eastAsia"/>
                <w:kern w:val="0"/>
                <w:sz w:val="20"/>
                <w:szCs w:val="20"/>
                <w:vertAlign w:val="superscript"/>
              </w:rPr>
              <w:t>註1</w:t>
            </w:r>
            <w:r w:rsidRPr="00FA2C4F">
              <w:rPr>
                <w:rFonts w:ascii="標楷體" w:eastAsia="標楷體" w:hAnsi="標楷體" w:cs="新細明體" w:hint="eastAsia"/>
                <w:kern w:val="0"/>
                <w:sz w:val="20"/>
                <w:szCs w:val="20"/>
              </w:rPr>
              <w:t xml:space="preserve"> 屬第一作者或通訊作者 40 分/篇</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AEEF3"/>
            <w:vAlign w:val="center"/>
            <w:hideMark/>
          </w:tcPr>
          <w:p w:rsidR="00FA2C4F" w:rsidRPr="00FA2C4F" w:rsidRDefault="00FA2C4F" w:rsidP="001B4130">
            <w:pPr>
              <w:widowControl/>
              <w:spacing w:line="300" w:lineRule="exact"/>
              <w:jc w:val="both"/>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A11-2、頂尖期刊</w:t>
            </w:r>
            <w:r w:rsidRPr="00FA2C4F">
              <w:rPr>
                <w:rFonts w:ascii="標楷體" w:eastAsia="標楷體" w:hAnsi="標楷體" w:cs="新細明體" w:hint="eastAsia"/>
                <w:kern w:val="0"/>
                <w:sz w:val="20"/>
                <w:szCs w:val="20"/>
                <w:vertAlign w:val="superscript"/>
              </w:rPr>
              <w:t>註1</w:t>
            </w:r>
            <w:r w:rsidRPr="00FA2C4F">
              <w:rPr>
                <w:rFonts w:ascii="標楷體" w:eastAsia="標楷體" w:hAnsi="標楷體" w:cs="新細明體" w:hint="eastAsia"/>
                <w:kern w:val="0"/>
                <w:sz w:val="20"/>
                <w:szCs w:val="20"/>
              </w:rPr>
              <w:t xml:space="preserve"> 屬其他作者  20 分/篇</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AEEF3"/>
            <w:noWrap/>
            <w:vAlign w:val="center"/>
            <w:hideMark/>
          </w:tcPr>
          <w:p w:rsidR="00FA2C4F" w:rsidRPr="00FA2C4F" w:rsidRDefault="00FA2C4F" w:rsidP="001B4130">
            <w:pPr>
              <w:widowControl/>
              <w:spacing w:line="300" w:lineRule="exact"/>
              <w:rPr>
                <w:rFonts w:ascii="標楷體" w:eastAsia="標楷體" w:hAnsi="標楷體" w:cs="Times New Roman"/>
                <w:kern w:val="0"/>
                <w:sz w:val="20"/>
                <w:szCs w:val="20"/>
              </w:rPr>
            </w:pPr>
            <w:r w:rsidRPr="00FA2C4F">
              <w:rPr>
                <w:rFonts w:ascii="標楷體" w:eastAsia="標楷體" w:hAnsi="標楷體" w:cs="Times New Roman"/>
                <w:kern w:val="0"/>
                <w:sz w:val="20"/>
                <w:szCs w:val="20"/>
              </w:rPr>
              <w:t>A12-1</w:t>
            </w:r>
            <w:r w:rsidRPr="00FA2C4F">
              <w:rPr>
                <w:rFonts w:ascii="標楷體" w:eastAsia="標楷體" w:hAnsi="標楷體" w:cs="Times New Roman" w:hint="eastAsia"/>
                <w:kern w:val="0"/>
                <w:sz w:val="20"/>
                <w:szCs w:val="20"/>
              </w:rPr>
              <w:t>、</w:t>
            </w:r>
            <w:r w:rsidRPr="00FA2C4F">
              <w:rPr>
                <w:rFonts w:ascii="標楷體" w:eastAsia="標楷體" w:hAnsi="標楷體" w:cs="Times New Roman"/>
                <w:kern w:val="0"/>
                <w:sz w:val="20"/>
                <w:szCs w:val="20"/>
              </w:rPr>
              <w:t xml:space="preserve">SSCI </w:t>
            </w:r>
            <w:r w:rsidRPr="00FA2C4F">
              <w:rPr>
                <w:rFonts w:ascii="標楷體" w:eastAsia="標楷體" w:hAnsi="標楷體" w:cs="Times New Roman" w:hint="eastAsia"/>
                <w:kern w:val="0"/>
                <w:sz w:val="20"/>
                <w:szCs w:val="20"/>
              </w:rPr>
              <w:t>排名前</w:t>
            </w:r>
            <w:r w:rsidRPr="00FA2C4F">
              <w:rPr>
                <w:rFonts w:ascii="標楷體" w:eastAsia="標楷體" w:hAnsi="標楷體" w:cs="Times New Roman"/>
                <w:kern w:val="0"/>
                <w:sz w:val="20"/>
                <w:szCs w:val="20"/>
              </w:rPr>
              <w:t>10%(</w:t>
            </w:r>
            <w:r w:rsidRPr="00FA2C4F">
              <w:rPr>
                <w:rFonts w:ascii="標楷體" w:eastAsia="標楷體" w:hAnsi="標楷體" w:cs="Times New Roman" w:hint="eastAsia"/>
                <w:kern w:val="0"/>
                <w:sz w:val="20"/>
                <w:szCs w:val="20"/>
              </w:rPr>
              <w:t>含</w:t>
            </w:r>
            <w:r w:rsidRPr="00FA2C4F">
              <w:rPr>
                <w:rFonts w:ascii="標楷體" w:eastAsia="標楷體" w:hAnsi="標楷體" w:cs="Times New Roman"/>
                <w:kern w:val="0"/>
                <w:sz w:val="20"/>
                <w:szCs w:val="20"/>
              </w:rPr>
              <w:t xml:space="preserve">) </w:t>
            </w:r>
            <w:r w:rsidRPr="00FA2C4F">
              <w:rPr>
                <w:rFonts w:ascii="標楷體" w:eastAsia="標楷體" w:hAnsi="標楷體" w:cs="Times New Roman" w:hint="eastAsia"/>
                <w:kern w:val="0"/>
                <w:sz w:val="20"/>
                <w:szCs w:val="20"/>
              </w:rPr>
              <w:t xml:space="preserve">屬第一作者或通訊作者 </w:t>
            </w:r>
            <w:r w:rsidRPr="00FA2C4F">
              <w:rPr>
                <w:rFonts w:ascii="標楷體" w:eastAsia="標楷體" w:hAnsi="標楷體" w:cs="Times New Roman"/>
                <w:kern w:val="0"/>
                <w:sz w:val="20"/>
                <w:szCs w:val="20"/>
              </w:rPr>
              <w:t xml:space="preserve">24 </w:t>
            </w:r>
            <w:r w:rsidRPr="00FA2C4F">
              <w:rPr>
                <w:rFonts w:ascii="標楷體" w:eastAsia="標楷體" w:hAnsi="標楷體" w:cs="Times New Roman" w:hint="eastAsia"/>
                <w:kern w:val="0"/>
                <w:sz w:val="20"/>
                <w:szCs w:val="20"/>
              </w:rPr>
              <w:t>分</w:t>
            </w:r>
            <w:r w:rsidRPr="00FA2C4F">
              <w:rPr>
                <w:rFonts w:ascii="標楷體" w:eastAsia="標楷體" w:hAnsi="標楷體" w:cs="Times New Roman"/>
                <w:kern w:val="0"/>
                <w:sz w:val="20"/>
                <w:szCs w:val="20"/>
              </w:rPr>
              <w:t>/</w:t>
            </w:r>
            <w:r w:rsidRPr="00FA2C4F">
              <w:rPr>
                <w:rFonts w:ascii="標楷體" w:eastAsia="標楷體" w:hAnsi="標楷體" w:cs="Times New Roman" w:hint="eastAsia"/>
                <w:kern w:val="0"/>
                <w:sz w:val="20"/>
                <w:szCs w:val="20"/>
              </w:rPr>
              <w:t>篇</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AEEF3"/>
            <w:noWrap/>
            <w:vAlign w:val="center"/>
            <w:hideMark/>
          </w:tcPr>
          <w:p w:rsidR="00FA2C4F" w:rsidRPr="00FA2C4F" w:rsidRDefault="00FA2C4F" w:rsidP="001B4130">
            <w:pPr>
              <w:widowControl/>
              <w:spacing w:line="300" w:lineRule="exact"/>
              <w:rPr>
                <w:rFonts w:ascii="標楷體" w:eastAsia="標楷體" w:hAnsi="標楷體" w:cs="Times New Roman"/>
                <w:kern w:val="0"/>
                <w:sz w:val="20"/>
                <w:szCs w:val="20"/>
              </w:rPr>
            </w:pPr>
            <w:r w:rsidRPr="00FA2C4F">
              <w:rPr>
                <w:rFonts w:ascii="標楷體" w:eastAsia="標楷體" w:hAnsi="標楷體" w:cs="Times New Roman"/>
                <w:kern w:val="0"/>
                <w:sz w:val="20"/>
                <w:szCs w:val="20"/>
              </w:rPr>
              <w:t>A12-2</w:t>
            </w:r>
            <w:r w:rsidRPr="00FA2C4F">
              <w:rPr>
                <w:rFonts w:ascii="標楷體" w:eastAsia="標楷體" w:hAnsi="標楷體" w:cs="Times New Roman" w:hint="eastAsia"/>
                <w:kern w:val="0"/>
                <w:sz w:val="20"/>
                <w:szCs w:val="20"/>
              </w:rPr>
              <w:t>、</w:t>
            </w:r>
            <w:r w:rsidRPr="00FA2C4F">
              <w:rPr>
                <w:rFonts w:ascii="標楷體" w:eastAsia="標楷體" w:hAnsi="標楷體" w:cs="Times New Roman"/>
                <w:kern w:val="0"/>
                <w:sz w:val="20"/>
                <w:szCs w:val="20"/>
              </w:rPr>
              <w:t xml:space="preserve">SSCI </w:t>
            </w:r>
            <w:r w:rsidRPr="00FA2C4F">
              <w:rPr>
                <w:rFonts w:ascii="標楷體" w:eastAsia="標楷體" w:hAnsi="標楷體" w:cs="Times New Roman" w:hint="eastAsia"/>
                <w:kern w:val="0"/>
                <w:sz w:val="20"/>
                <w:szCs w:val="20"/>
              </w:rPr>
              <w:t>排名前</w:t>
            </w:r>
            <w:r w:rsidRPr="00FA2C4F">
              <w:rPr>
                <w:rFonts w:ascii="標楷體" w:eastAsia="標楷體" w:hAnsi="標楷體" w:cs="Times New Roman"/>
                <w:kern w:val="0"/>
                <w:sz w:val="20"/>
                <w:szCs w:val="20"/>
              </w:rPr>
              <w:t>10%(</w:t>
            </w:r>
            <w:r w:rsidRPr="00FA2C4F">
              <w:rPr>
                <w:rFonts w:ascii="標楷體" w:eastAsia="標楷體" w:hAnsi="標楷體" w:cs="Times New Roman" w:hint="eastAsia"/>
                <w:kern w:val="0"/>
                <w:sz w:val="20"/>
                <w:szCs w:val="20"/>
              </w:rPr>
              <w:t>含</w:t>
            </w:r>
            <w:r w:rsidRPr="00FA2C4F">
              <w:rPr>
                <w:rFonts w:ascii="標楷體" w:eastAsia="標楷體" w:hAnsi="標楷體" w:cs="Times New Roman"/>
                <w:kern w:val="0"/>
                <w:sz w:val="20"/>
                <w:szCs w:val="20"/>
              </w:rPr>
              <w:t xml:space="preserve">) </w:t>
            </w:r>
            <w:r w:rsidRPr="00FA2C4F">
              <w:rPr>
                <w:rFonts w:ascii="標楷體" w:eastAsia="標楷體" w:hAnsi="標楷體" w:cs="Times New Roman" w:hint="eastAsia"/>
                <w:kern w:val="0"/>
                <w:sz w:val="20"/>
                <w:szCs w:val="20"/>
              </w:rPr>
              <w:t>屬其他作者</w:t>
            </w:r>
            <w:r w:rsidRPr="00FA2C4F">
              <w:rPr>
                <w:rFonts w:ascii="標楷體" w:eastAsia="標楷體" w:hAnsi="標楷體" w:cs="Times New Roman"/>
                <w:kern w:val="0"/>
                <w:sz w:val="20"/>
                <w:szCs w:val="20"/>
              </w:rPr>
              <w:t xml:space="preserve">  12 </w:t>
            </w:r>
            <w:r w:rsidRPr="00FA2C4F">
              <w:rPr>
                <w:rFonts w:ascii="標楷體" w:eastAsia="標楷體" w:hAnsi="標楷體" w:cs="Times New Roman" w:hint="eastAsia"/>
                <w:kern w:val="0"/>
                <w:sz w:val="20"/>
                <w:szCs w:val="20"/>
              </w:rPr>
              <w:t>分</w:t>
            </w:r>
            <w:r w:rsidRPr="00FA2C4F">
              <w:rPr>
                <w:rFonts w:ascii="標楷體" w:eastAsia="標楷體" w:hAnsi="標楷體" w:cs="Times New Roman"/>
                <w:kern w:val="0"/>
                <w:sz w:val="20"/>
                <w:szCs w:val="20"/>
              </w:rPr>
              <w:t>/</w:t>
            </w:r>
            <w:r w:rsidRPr="00FA2C4F">
              <w:rPr>
                <w:rFonts w:ascii="標楷體" w:eastAsia="標楷體" w:hAnsi="標楷體" w:cs="Times New Roman" w:hint="eastAsia"/>
                <w:kern w:val="0"/>
                <w:sz w:val="20"/>
                <w:szCs w:val="20"/>
              </w:rPr>
              <w:t>篇</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AEEF3"/>
            <w:noWrap/>
            <w:vAlign w:val="center"/>
            <w:hideMark/>
          </w:tcPr>
          <w:p w:rsidR="00FA2C4F" w:rsidRPr="00FA2C4F" w:rsidRDefault="00FA2C4F" w:rsidP="001B4130">
            <w:pPr>
              <w:widowControl/>
              <w:spacing w:line="300" w:lineRule="exact"/>
              <w:rPr>
                <w:rFonts w:ascii="標楷體" w:eastAsia="標楷體" w:hAnsi="標楷體" w:cs="Times New Roman"/>
                <w:kern w:val="0"/>
                <w:sz w:val="20"/>
                <w:szCs w:val="20"/>
              </w:rPr>
            </w:pPr>
            <w:r w:rsidRPr="00FA2C4F">
              <w:rPr>
                <w:rFonts w:ascii="標楷體" w:eastAsia="標楷體" w:hAnsi="標楷體" w:cs="Times New Roman"/>
                <w:kern w:val="0"/>
                <w:sz w:val="20"/>
                <w:szCs w:val="20"/>
              </w:rPr>
              <w:t>A13-1</w:t>
            </w:r>
            <w:r w:rsidRPr="00FA2C4F">
              <w:rPr>
                <w:rFonts w:ascii="標楷體" w:eastAsia="標楷體" w:hAnsi="標楷體" w:cs="Times New Roman" w:hint="eastAsia"/>
                <w:kern w:val="0"/>
                <w:sz w:val="20"/>
                <w:szCs w:val="20"/>
              </w:rPr>
              <w:t>、</w:t>
            </w:r>
            <w:r w:rsidRPr="00FA2C4F">
              <w:rPr>
                <w:rFonts w:ascii="標楷體" w:eastAsia="標楷體" w:hAnsi="標楷體" w:cs="Times New Roman"/>
                <w:kern w:val="0"/>
                <w:sz w:val="20"/>
                <w:szCs w:val="20"/>
              </w:rPr>
              <w:t xml:space="preserve">SSCI </w:t>
            </w:r>
            <w:r w:rsidRPr="00FA2C4F">
              <w:rPr>
                <w:rFonts w:ascii="標楷體" w:eastAsia="標楷體" w:hAnsi="標楷體" w:cs="Times New Roman" w:hint="eastAsia"/>
                <w:kern w:val="0"/>
                <w:sz w:val="20"/>
                <w:szCs w:val="20"/>
              </w:rPr>
              <w:t>排名</w:t>
            </w:r>
            <w:r w:rsidRPr="00FA2C4F">
              <w:rPr>
                <w:rFonts w:ascii="標楷體" w:eastAsia="標楷體" w:hAnsi="標楷體" w:cs="Times New Roman"/>
                <w:kern w:val="0"/>
                <w:sz w:val="20"/>
                <w:szCs w:val="20"/>
              </w:rPr>
              <w:t>10%(</w:t>
            </w:r>
            <w:r w:rsidRPr="00FA2C4F">
              <w:rPr>
                <w:rFonts w:ascii="標楷體" w:eastAsia="標楷體" w:hAnsi="標楷體" w:cs="Times New Roman" w:hint="eastAsia"/>
                <w:kern w:val="0"/>
                <w:sz w:val="20"/>
                <w:szCs w:val="20"/>
              </w:rPr>
              <w:t>不含</w:t>
            </w:r>
            <w:r w:rsidRPr="00FA2C4F">
              <w:rPr>
                <w:rFonts w:ascii="標楷體" w:eastAsia="標楷體" w:hAnsi="標楷體" w:cs="Times New Roman"/>
                <w:kern w:val="0"/>
                <w:sz w:val="20"/>
                <w:szCs w:val="20"/>
              </w:rPr>
              <w:t>)~30%(</w:t>
            </w:r>
            <w:r w:rsidRPr="00FA2C4F">
              <w:rPr>
                <w:rFonts w:ascii="標楷體" w:eastAsia="標楷體" w:hAnsi="標楷體" w:cs="Times New Roman" w:hint="eastAsia"/>
                <w:kern w:val="0"/>
                <w:sz w:val="20"/>
                <w:szCs w:val="20"/>
              </w:rPr>
              <w:t>含</w:t>
            </w:r>
            <w:r w:rsidRPr="00FA2C4F">
              <w:rPr>
                <w:rFonts w:ascii="標楷體" w:eastAsia="標楷體" w:hAnsi="標楷體" w:cs="Times New Roman"/>
                <w:kern w:val="0"/>
                <w:sz w:val="20"/>
                <w:szCs w:val="20"/>
              </w:rPr>
              <w:t xml:space="preserve">) </w:t>
            </w:r>
            <w:r w:rsidRPr="00FA2C4F">
              <w:rPr>
                <w:rFonts w:ascii="標楷體" w:eastAsia="標楷體" w:hAnsi="標楷體" w:cs="Times New Roman" w:hint="eastAsia"/>
                <w:kern w:val="0"/>
                <w:sz w:val="20"/>
                <w:szCs w:val="20"/>
              </w:rPr>
              <w:t xml:space="preserve">屬第一作者或通訊作者 </w:t>
            </w:r>
            <w:r w:rsidRPr="00FA2C4F">
              <w:rPr>
                <w:rFonts w:ascii="標楷體" w:eastAsia="標楷體" w:hAnsi="標楷體" w:cs="Times New Roman"/>
                <w:kern w:val="0"/>
                <w:sz w:val="20"/>
                <w:szCs w:val="20"/>
              </w:rPr>
              <w:t xml:space="preserve">18 </w:t>
            </w:r>
            <w:r w:rsidRPr="00FA2C4F">
              <w:rPr>
                <w:rFonts w:ascii="標楷體" w:eastAsia="標楷體" w:hAnsi="標楷體" w:cs="Times New Roman" w:hint="eastAsia"/>
                <w:kern w:val="0"/>
                <w:sz w:val="20"/>
                <w:szCs w:val="20"/>
              </w:rPr>
              <w:t>分</w:t>
            </w:r>
            <w:r w:rsidRPr="00FA2C4F">
              <w:rPr>
                <w:rFonts w:ascii="標楷體" w:eastAsia="標楷體" w:hAnsi="標楷體" w:cs="Times New Roman"/>
                <w:kern w:val="0"/>
                <w:sz w:val="20"/>
                <w:szCs w:val="20"/>
              </w:rPr>
              <w:t>/</w:t>
            </w:r>
            <w:r w:rsidRPr="00FA2C4F">
              <w:rPr>
                <w:rFonts w:ascii="標楷體" w:eastAsia="標楷體" w:hAnsi="標楷體" w:cs="Times New Roman" w:hint="eastAsia"/>
                <w:kern w:val="0"/>
                <w:sz w:val="20"/>
                <w:szCs w:val="20"/>
              </w:rPr>
              <w:t>篇</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AEEF3"/>
            <w:noWrap/>
            <w:vAlign w:val="center"/>
            <w:hideMark/>
          </w:tcPr>
          <w:p w:rsidR="00FA2C4F" w:rsidRPr="00FA2C4F" w:rsidRDefault="00FA2C4F" w:rsidP="001B4130">
            <w:pPr>
              <w:widowControl/>
              <w:spacing w:line="300" w:lineRule="exact"/>
              <w:rPr>
                <w:rFonts w:ascii="標楷體" w:eastAsia="標楷體" w:hAnsi="標楷體" w:cs="Times New Roman"/>
                <w:kern w:val="0"/>
                <w:sz w:val="20"/>
                <w:szCs w:val="20"/>
              </w:rPr>
            </w:pPr>
            <w:r w:rsidRPr="00FA2C4F">
              <w:rPr>
                <w:rFonts w:ascii="標楷體" w:eastAsia="標楷體" w:hAnsi="標楷體" w:cs="Times New Roman"/>
                <w:kern w:val="0"/>
                <w:sz w:val="20"/>
                <w:szCs w:val="20"/>
              </w:rPr>
              <w:t>A13-2</w:t>
            </w:r>
            <w:r w:rsidRPr="00FA2C4F">
              <w:rPr>
                <w:rFonts w:ascii="標楷體" w:eastAsia="標楷體" w:hAnsi="標楷體" w:cs="Times New Roman" w:hint="eastAsia"/>
                <w:kern w:val="0"/>
                <w:sz w:val="20"/>
                <w:szCs w:val="20"/>
              </w:rPr>
              <w:t>、</w:t>
            </w:r>
            <w:r w:rsidRPr="00FA2C4F">
              <w:rPr>
                <w:rFonts w:ascii="標楷體" w:eastAsia="標楷體" w:hAnsi="標楷體" w:cs="Times New Roman"/>
                <w:kern w:val="0"/>
                <w:sz w:val="20"/>
                <w:szCs w:val="20"/>
              </w:rPr>
              <w:t xml:space="preserve">SSCI </w:t>
            </w:r>
            <w:r w:rsidRPr="00FA2C4F">
              <w:rPr>
                <w:rFonts w:ascii="標楷體" w:eastAsia="標楷體" w:hAnsi="標楷體" w:cs="Times New Roman" w:hint="eastAsia"/>
                <w:kern w:val="0"/>
                <w:sz w:val="20"/>
                <w:szCs w:val="20"/>
              </w:rPr>
              <w:t>排名</w:t>
            </w:r>
            <w:r w:rsidRPr="00FA2C4F">
              <w:rPr>
                <w:rFonts w:ascii="標楷體" w:eastAsia="標楷體" w:hAnsi="標楷體" w:cs="Times New Roman"/>
                <w:kern w:val="0"/>
                <w:sz w:val="20"/>
                <w:szCs w:val="20"/>
              </w:rPr>
              <w:t>10%(</w:t>
            </w:r>
            <w:r w:rsidRPr="00FA2C4F">
              <w:rPr>
                <w:rFonts w:ascii="標楷體" w:eastAsia="標楷體" w:hAnsi="標楷體" w:cs="Times New Roman" w:hint="eastAsia"/>
                <w:kern w:val="0"/>
                <w:sz w:val="20"/>
                <w:szCs w:val="20"/>
              </w:rPr>
              <w:t>不含</w:t>
            </w:r>
            <w:r w:rsidRPr="00FA2C4F">
              <w:rPr>
                <w:rFonts w:ascii="標楷體" w:eastAsia="標楷體" w:hAnsi="標楷體" w:cs="Times New Roman"/>
                <w:kern w:val="0"/>
                <w:sz w:val="20"/>
                <w:szCs w:val="20"/>
              </w:rPr>
              <w:t>)~30%(</w:t>
            </w:r>
            <w:r w:rsidRPr="00FA2C4F">
              <w:rPr>
                <w:rFonts w:ascii="標楷體" w:eastAsia="標楷體" w:hAnsi="標楷體" w:cs="Times New Roman" w:hint="eastAsia"/>
                <w:kern w:val="0"/>
                <w:sz w:val="20"/>
                <w:szCs w:val="20"/>
              </w:rPr>
              <w:t>含</w:t>
            </w:r>
            <w:r w:rsidRPr="00FA2C4F">
              <w:rPr>
                <w:rFonts w:ascii="標楷體" w:eastAsia="標楷體" w:hAnsi="標楷體" w:cs="Times New Roman"/>
                <w:kern w:val="0"/>
                <w:sz w:val="20"/>
                <w:szCs w:val="20"/>
              </w:rPr>
              <w:t xml:space="preserve">) </w:t>
            </w:r>
            <w:r w:rsidRPr="00FA2C4F">
              <w:rPr>
                <w:rFonts w:ascii="標楷體" w:eastAsia="標楷體" w:hAnsi="標楷體" w:cs="Times New Roman" w:hint="eastAsia"/>
                <w:kern w:val="0"/>
                <w:sz w:val="20"/>
                <w:szCs w:val="20"/>
              </w:rPr>
              <w:t>屬其他作者</w:t>
            </w:r>
            <w:r w:rsidRPr="00FA2C4F">
              <w:rPr>
                <w:rFonts w:ascii="標楷體" w:eastAsia="標楷體" w:hAnsi="標楷體" w:cs="Times New Roman"/>
                <w:kern w:val="0"/>
                <w:sz w:val="20"/>
                <w:szCs w:val="20"/>
              </w:rPr>
              <w:t xml:space="preserve">  9 </w:t>
            </w:r>
            <w:r w:rsidRPr="00FA2C4F">
              <w:rPr>
                <w:rFonts w:ascii="標楷體" w:eastAsia="標楷體" w:hAnsi="標楷體" w:cs="Times New Roman" w:hint="eastAsia"/>
                <w:kern w:val="0"/>
                <w:sz w:val="20"/>
                <w:szCs w:val="20"/>
              </w:rPr>
              <w:t>分</w:t>
            </w:r>
            <w:r w:rsidRPr="00FA2C4F">
              <w:rPr>
                <w:rFonts w:ascii="標楷體" w:eastAsia="標楷體" w:hAnsi="標楷體" w:cs="Times New Roman"/>
                <w:kern w:val="0"/>
                <w:sz w:val="20"/>
                <w:szCs w:val="20"/>
              </w:rPr>
              <w:t>/</w:t>
            </w:r>
            <w:r w:rsidRPr="00FA2C4F">
              <w:rPr>
                <w:rFonts w:ascii="標楷體" w:eastAsia="標楷體" w:hAnsi="標楷體" w:cs="Times New Roman" w:hint="eastAsia"/>
                <w:kern w:val="0"/>
                <w:sz w:val="20"/>
                <w:szCs w:val="20"/>
              </w:rPr>
              <w:t>篇</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AEEF3"/>
            <w:noWrap/>
            <w:vAlign w:val="center"/>
            <w:hideMark/>
          </w:tcPr>
          <w:p w:rsidR="00FA2C4F" w:rsidRPr="00FA2C4F" w:rsidRDefault="00FA2C4F" w:rsidP="001B4130">
            <w:pPr>
              <w:widowControl/>
              <w:spacing w:line="300" w:lineRule="exact"/>
              <w:rPr>
                <w:rFonts w:ascii="標楷體" w:eastAsia="標楷體" w:hAnsi="標楷體" w:cs="Times New Roman"/>
                <w:kern w:val="0"/>
                <w:sz w:val="20"/>
                <w:szCs w:val="20"/>
              </w:rPr>
            </w:pPr>
            <w:r w:rsidRPr="00FA2C4F">
              <w:rPr>
                <w:rFonts w:ascii="標楷體" w:eastAsia="標楷體" w:hAnsi="標楷體" w:cs="Times New Roman"/>
                <w:kern w:val="0"/>
                <w:sz w:val="20"/>
                <w:szCs w:val="20"/>
              </w:rPr>
              <w:t>A14-1</w:t>
            </w:r>
            <w:r w:rsidRPr="00FA2C4F">
              <w:rPr>
                <w:rFonts w:ascii="標楷體" w:eastAsia="標楷體" w:hAnsi="標楷體" w:cs="Times New Roman" w:hint="eastAsia"/>
                <w:kern w:val="0"/>
                <w:sz w:val="20"/>
                <w:szCs w:val="20"/>
              </w:rPr>
              <w:t>、</w:t>
            </w:r>
            <w:r w:rsidRPr="00FA2C4F">
              <w:rPr>
                <w:rFonts w:ascii="標楷體" w:eastAsia="標楷體" w:hAnsi="標楷體" w:cs="Times New Roman"/>
                <w:kern w:val="0"/>
                <w:sz w:val="20"/>
                <w:szCs w:val="20"/>
              </w:rPr>
              <w:t xml:space="preserve">SSCI </w:t>
            </w:r>
            <w:r w:rsidRPr="00FA2C4F">
              <w:rPr>
                <w:rFonts w:ascii="標楷體" w:eastAsia="標楷體" w:hAnsi="標楷體" w:cs="Times New Roman" w:hint="eastAsia"/>
                <w:kern w:val="0"/>
                <w:sz w:val="20"/>
                <w:szCs w:val="20"/>
              </w:rPr>
              <w:t>排名</w:t>
            </w:r>
            <w:r w:rsidRPr="00FA2C4F">
              <w:rPr>
                <w:rFonts w:ascii="標楷體" w:eastAsia="標楷體" w:hAnsi="標楷體" w:cs="Times New Roman"/>
                <w:kern w:val="0"/>
                <w:sz w:val="20"/>
                <w:szCs w:val="20"/>
              </w:rPr>
              <w:t>30%(</w:t>
            </w:r>
            <w:r w:rsidRPr="00FA2C4F">
              <w:rPr>
                <w:rFonts w:ascii="標楷體" w:eastAsia="標楷體" w:hAnsi="標楷體" w:cs="Times New Roman" w:hint="eastAsia"/>
                <w:kern w:val="0"/>
                <w:sz w:val="20"/>
                <w:szCs w:val="20"/>
              </w:rPr>
              <w:t>不含</w:t>
            </w:r>
            <w:r w:rsidRPr="00FA2C4F">
              <w:rPr>
                <w:rFonts w:ascii="標楷體" w:eastAsia="標楷體" w:hAnsi="標楷體" w:cs="Times New Roman"/>
                <w:kern w:val="0"/>
                <w:sz w:val="20"/>
                <w:szCs w:val="20"/>
              </w:rPr>
              <w:t>)~70%(</w:t>
            </w:r>
            <w:r w:rsidRPr="00FA2C4F">
              <w:rPr>
                <w:rFonts w:ascii="標楷體" w:eastAsia="標楷體" w:hAnsi="標楷體" w:cs="Times New Roman" w:hint="eastAsia"/>
                <w:kern w:val="0"/>
                <w:sz w:val="20"/>
                <w:szCs w:val="20"/>
              </w:rPr>
              <w:t>含</w:t>
            </w:r>
            <w:r w:rsidRPr="00FA2C4F">
              <w:rPr>
                <w:rFonts w:ascii="標楷體" w:eastAsia="標楷體" w:hAnsi="標楷體" w:cs="Times New Roman"/>
                <w:kern w:val="0"/>
                <w:sz w:val="20"/>
                <w:szCs w:val="20"/>
              </w:rPr>
              <w:t xml:space="preserve">) </w:t>
            </w:r>
            <w:r w:rsidRPr="00FA2C4F">
              <w:rPr>
                <w:rFonts w:ascii="標楷體" w:eastAsia="標楷體" w:hAnsi="標楷體" w:cs="Times New Roman" w:hint="eastAsia"/>
                <w:kern w:val="0"/>
                <w:sz w:val="20"/>
                <w:szCs w:val="20"/>
              </w:rPr>
              <w:t xml:space="preserve">屬第一作者或通訊作者 </w:t>
            </w:r>
            <w:r w:rsidRPr="00FA2C4F">
              <w:rPr>
                <w:rFonts w:ascii="標楷體" w:eastAsia="標楷體" w:hAnsi="標楷體" w:cs="Times New Roman"/>
                <w:kern w:val="0"/>
                <w:sz w:val="20"/>
                <w:szCs w:val="20"/>
              </w:rPr>
              <w:t xml:space="preserve">12 </w:t>
            </w:r>
            <w:r w:rsidRPr="00FA2C4F">
              <w:rPr>
                <w:rFonts w:ascii="標楷體" w:eastAsia="標楷體" w:hAnsi="標楷體" w:cs="Times New Roman" w:hint="eastAsia"/>
                <w:kern w:val="0"/>
                <w:sz w:val="20"/>
                <w:szCs w:val="20"/>
              </w:rPr>
              <w:t>分</w:t>
            </w:r>
            <w:r w:rsidRPr="00FA2C4F">
              <w:rPr>
                <w:rFonts w:ascii="標楷體" w:eastAsia="標楷體" w:hAnsi="標楷體" w:cs="Times New Roman"/>
                <w:kern w:val="0"/>
                <w:sz w:val="20"/>
                <w:szCs w:val="20"/>
              </w:rPr>
              <w:t>/</w:t>
            </w:r>
            <w:r w:rsidRPr="00FA2C4F">
              <w:rPr>
                <w:rFonts w:ascii="標楷體" w:eastAsia="標楷體" w:hAnsi="標楷體" w:cs="Times New Roman" w:hint="eastAsia"/>
                <w:kern w:val="0"/>
                <w:sz w:val="20"/>
                <w:szCs w:val="20"/>
              </w:rPr>
              <w:t>篇</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AEEF3"/>
            <w:noWrap/>
            <w:vAlign w:val="center"/>
            <w:hideMark/>
          </w:tcPr>
          <w:p w:rsidR="00FA2C4F" w:rsidRPr="00FA2C4F" w:rsidRDefault="00FA2C4F" w:rsidP="001B4130">
            <w:pPr>
              <w:widowControl/>
              <w:spacing w:line="300" w:lineRule="exact"/>
              <w:rPr>
                <w:rFonts w:ascii="標楷體" w:eastAsia="標楷體" w:hAnsi="標楷體" w:cs="Times New Roman"/>
                <w:kern w:val="0"/>
                <w:sz w:val="20"/>
                <w:szCs w:val="20"/>
              </w:rPr>
            </w:pPr>
            <w:r w:rsidRPr="00FA2C4F">
              <w:rPr>
                <w:rFonts w:ascii="標楷體" w:eastAsia="標楷體" w:hAnsi="標楷體" w:cs="Times New Roman"/>
                <w:kern w:val="0"/>
                <w:sz w:val="20"/>
                <w:szCs w:val="20"/>
              </w:rPr>
              <w:t>A14-2</w:t>
            </w:r>
            <w:r w:rsidRPr="00FA2C4F">
              <w:rPr>
                <w:rFonts w:ascii="標楷體" w:eastAsia="標楷體" w:hAnsi="標楷體" w:cs="Times New Roman" w:hint="eastAsia"/>
                <w:kern w:val="0"/>
                <w:sz w:val="20"/>
                <w:szCs w:val="20"/>
              </w:rPr>
              <w:t>、</w:t>
            </w:r>
            <w:r w:rsidRPr="00FA2C4F">
              <w:rPr>
                <w:rFonts w:ascii="標楷體" w:eastAsia="標楷體" w:hAnsi="標楷體" w:cs="Times New Roman"/>
                <w:kern w:val="0"/>
                <w:sz w:val="20"/>
                <w:szCs w:val="20"/>
              </w:rPr>
              <w:t xml:space="preserve">SSCI </w:t>
            </w:r>
            <w:r w:rsidRPr="00FA2C4F">
              <w:rPr>
                <w:rFonts w:ascii="標楷體" w:eastAsia="標楷體" w:hAnsi="標楷體" w:cs="Times New Roman" w:hint="eastAsia"/>
                <w:kern w:val="0"/>
                <w:sz w:val="20"/>
                <w:szCs w:val="20"/>
              </w:rPr>
              <w:t>排名</w:t>
            </w:r>
            <w:r w:rsidRPr="00FA2C4F">
              <w:rPr>
                <w:rFonts w:ascii="標楷體" w:eastAsia="標楷體" w:hAnsi="標楷體" w:cs="Times New Roman"/>
                <w:kern w:val="0"/>
                <w:sz w:val="20"/>
                <w:szCs w:val="20"/>
              </w:rPr>
              <w:t>30%(</w:t>
            </w:r>
            <w:r w:rsidRPr="00FA2C4F">
              <w:rPr>
                <w:rFonts w:ascii="標楷體" w:eastAsia="標楷體" w:hAnsi="標楷體" w:cs="Times New Roman" w:hint="eastAsia"/>
                <w:kern w:val="0"/>
                <w:sz w:val="20"/>
                <w:szCs w:val="20"/>
              </w:rPr>
              <w:t>不含</w:t>
            </w:r>
            <w:r w:rsidRPr="00FA2C4F">
              <w:rPr>
                <w:rFonts w:ascii="標楷體" w:eastAsia="標楷體" w:hAnsi="標楷體" w:cs="Times New Roman"/>
                <w:kern w:val="0"/>
                <w:sz w:val="20"/>
                <w:szCs w:val="20"/>
              </w:rPr>
              <w:t>)~70%(</w:t>
            </w:r>
            <w:r w:rsidRPr="00FA2C4F">
              <w:rPr>
                <w:rFonts w:ascii="標楷體" w:eastAsia="標楷體" w:hAnsi="標楷體" w:cs="Times New Roman" w:hint="eastAsia"/>
                <w:kern w:val="0"/>
                <w:sz w:val="20"/>
                <w:szCs w:val="20"/>
              </w:rPr>
              <w:t>含</w:t>
            </w:r>
            <w:r w:rsidRPr="00FA2C4F">
              <w:rPr>
                <w:rFonts w:ascii="標楷體" w:eastAsia="標楷體" w:hAnsi="標楷體" w:cs="Times New Roman"/>
                <w:kern w:val="0"/>
                <w:sz w:val="20"/>
                <w:szCs w:val="20"/>
              </w:rPr>
              <w:t xml:space="preserve">) </w:t>
            </w:r>
            <w:r w:rsidRPr="00FA2C4F">
              <w:rPr>
                <w:rFonts w:ascii="標楷體" w:eastAsia="標楷體" w:hAnsi="標楷體" w:cs="Times New Roman" w:hint="eastAsia"/>
                <w:kern w:val="0"/>
                <w:sz w:val="20"/>
                <w:szCs w:val="20"/>
              </w:rPr>
              <w:t xml:space="preserve">屬其他作者 </w:t>
            </w:r>
            <w:r w:rsidRPr="00FA2C4F">
              <w:rPr>
                <w:rFonts w:ascii="標楷體" w:eastAsia="標楷體" w:hAnsi="標楷體" w:cs="Times New Roman"/>
                <w:kern w:val="0"/>
                <w:sz w:val="20"/>
                <w:szCs w:val="20"/>
              </w:rPr>
              <w:t xml:space="preserve"> 6 </w:t>
            </w:r>
            <w:r w:rsidRPr="00FA2C4F">
              <w:rPr>
                <w:rFonts w:ascii="標楷體" w:eastAsia="標楷體" w:hAnsi="標楷體" w:cs="Times New Roman" w:hint="eastAsia"/>
                <w:kern w:val="0"/>
                <w:sz w:val="20"/>
                <w:szCs w:val="20"/>
              </w:rPr>
              <w:t>分</w:t>
            </w:r>
            <w:r w:rsidRPr="00FA2C4F">
              <w:rPr>
                <w:rFonts w:ascii="標楷體" w:eastAsia="標楷體" w:hAnsi="標楷體" w:cs="Times New Roman"/>
                <w:kern w:val="0"/>
                <w:sz w:val="20"/>
                <w:szCs w:val="20"/>
              </w:rPr>
              <w:t>/</w:t>
            </w:r>
            <w:r w:rsidRPr="00FA2C4F">
              <w:rPr>
                <w:rFonts w:ascii="標楷體" w:eastAsia="標楷體" w:hAnsi="標楷體" w:cs="Times New Roman" w:hint="eastAsia"/>
                <w:kern w:val="0"/>
                <w:sz w:val="20"/>
                <w:szCs w:val="20"/>
              </w:rPr>
              <w:t>篇</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AEEF3"/>
            <w:noWrap/>
            <w:vAlign w:val="center"/>
            <w:hideMark/>
          </w:tcPr>
          <w:p w:rsidR="00FA2C4F" w:rsidRPr="00FA2C4F" w:rsidRDefault="00FA2C4F" w:rsidP="001B4130">
            <w:pPr>
              <w:widowControl/>
              <w:spacing w:line="300" w:lineRule="exact"/>
              <w:rPr>
                <w:rFonts w:ascii="標楷體" w:eastAsia="標楷體" w:hAnsi="標楷體" w:cs="Times New Roman"/>
                <w:kern w:val="0"/>
                <w:sz w:val="20"/>
                <w:szCs w:val="20"/>
              </w:rPr>
            </w:pPr>
            <w:r w:rsidRPr="00FA2C4F">
              <w:rPr>
                <w:rFonts w:ascii="標楷體" w:eastAsia="標楷體" w:hAnsi="標楷體" w:cs="Times New Roman"/>
                <w:kern w:val="0"/>
                <w:sz w:val="20"/>
                <w:szCs w:val="20"/>
              </w:rPr>
              <w:t>A15-1</w:t>
            </w:r>
            <w:r w:rsidRPr="00FA2C4F">
              <w:rPr>
                <w:rFonts w:ascii="標楷體" w:eastAsia="標楷體" w:hAnsi="標楷體" w:cs="Times New Roman" w:hint="eastAsia"/>
                <w:kern w:val="0"/>
                <w:sz w:val="20"/>
                <w:szCs w:val="20"/>
              </w:rPr>
              <w:t>、</w:t>
            </w:r>
            <w:r w:rsidRPr="00FA2C4F">
              <w:rPr>
                <w:rFonts w:ascii="標楷體" w:eastAsia="標楷體" w:hAnsi="標楷體" w:cs="Times New Roman"/>
                <w:kern w:val="0"/>
                <w:sz w:val="20"/>
                <w:szCs w:val="20"/>
              </w:rPr>
              <w:t xml:space="preserve">SCI </w:t>
            </w:r>
            <w:r w:rsidRPr="00FA2C4F">
              <w:rPr>
                <w:rFonts w:ascii="標楷體" w:eastAsia="標楷體" w:hAnsi="標楷體" w:cs="Times New Roman" w:hint="eastAsia"/>
                <w:kern w:val="0"/>
                <w:sz w:val="20"/>
                <w:szCs w:val="20"/>
              </w:rPr>
              <w:t>排名前</w:t>
            </w:r>
            <w:r w:rsidRPr="00FA2C4F">
              <w:rPr>
                <w:rFonts w:ascii="標楷體" w:eastAsia="標楷體" w:hAnsi="標楷體" w:cs="Times New Roman"/>
                <w:kern w:val="0"/>
                <w:sz w:val="20"/>
                <w:szCs w:val="20"/>
              </w:rPr>
              <w:t>10%(</w:t>
            </w:r>
            <w:r w:rsidRPr="00FA2C4F">
              <w:rPr>
                <w:rFonts w:ascii="標楷體" w:eastAsia="標楷體" w:hAnsi="標楷體" w:cs="Times New Roman" w:hint="eastAsia"/>
                <w:kern w:val="0"/>
                <w:sz w:val="20"/>
                <w:szCs w:val="20"/>
              </w:rPr>
              <w:t>含</w:t>
            </w:r>
            <w:r w:rsidRPr="00FA2C4F">
              <w:rPr>
                <w:rFonts w:ascii="標楷體" w:eastAsia="標楷體" w:hAnsi="標楷體" w:cs="Times New Roman"/>
                <w:kern w:val="0"/>
                <w:sz w:val="20"/>
                <w:szCs w:val="20"/>
              </w:rPr>
              <w:t xml:space="preserve">) </w:t>
            </w:r>
            <w:r w:rsidRPr="00FA2C4F">
              <w:rPr>
                <w:rFonts w:ascii="標楷體" w:eastAsia="標楷體" w:hAnsi="標楷體" w:cs="Times New Roman" w:hint="eastAsia"/>
                <w:kern w:val="0"/>
                <w:sz w:val="20"/>
                <w:szCs w:val="20"/>
              </w:rPr>
              <w:t xml:space="preserve">屬第一作者或通訊作者 </w:t>
            </w:r>
            <w:r w:rsidRPr="00FA2C4F">
              <w:rPr>
                <w:rFonts w:ascii="標楷體" w:eastAsia="標楷體" w:hAnsi="標楷體" w:cs="Times New Roman"/>
                <w:kern w:val="0"/>
                <w:sz w:val="20"/>
                <w:szCs w:val="20"/>
              </w:rPr>
              <w:t xml:space="preserve">12 </w:t>
            </w:r>
            <w:r w:rsidRPr="00FA2C4F">
              <w:rPr>
                <w:rFonts w:ascii="標楷體" w:eastAsia="標楷體" w:hAnsi="標楷體" w:cs="Times New Roman" w:hint="eastAsia"/>
                <w:kern w:val="0"/>
                <w:sz w:val="20"/>
                <w:szCs w:val="20"/>
              </w:rPr>
              <w:t>分</w:t>
            </w:r>
            <w:r w:rsidRPr="00FA2C4F">
              <w:rPr>
                <w:rFonts w:ascii="標楷體" w:eastAsia="標楷體" w:hAnsi="標楷體" w:cs="Times New Roman"/>
                <w:kern w:val="0"/>
                <w:sz w:val="20"/>
                <w:szCs w:val="20"/>
              </w:rPr>
              <w:t>/</w:t>
            </w:r>
            <w:r w:rsidRPr="00FA2C4F">
              <w:rPr>
                <w:rFonts w:ascii="標楷體" w:eastAsia="標楷體" w:hAnsi="標楷體" w:cs="Times New Roman" w:hint="eastAsia"/>
                <w:kern w:val="0"/>
                <w:sz w:val="20"/>
                <w:szCs w:val="20"/>
              </w:rPr>
              <w:t>篇</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AEEF3"/>
            <w:noWrap/>
            <w:vAlign w:val="center"/>
            <w:hideMark/>
          </w:tcPr>
          <w:p w:rsidR="00FA2C4F" w:rsidRPr="00FA2C4F" w:rsidRDefault="00FA2C4F" w:rsidP="001B4130">
            <w:pPr>
              <w:widowControl/>
              <w:spacing w:line="300" w:lineRule="exact"/>
              <w:rPr>
                <w:rFonts w:ascii="標楷體" w:eastAsia="標楷體" w:hAnsi="標楷體" w:cs="Times New Roman"/>
                <w:kern w:val="0"/>
                <w:sz w:val="20"/>
                <w:szCs w:val="20"/>
              </w:rPr>
            </w:pPr>
            <w:r w:rsidRPr="00FA2C4F">
              <w:rPr>
                <w:rFonts w:ascii="標楷體" w:eastAsia="標楷體" w:hAnsi="標楷體" w:cs="Times New Roman"/>
                <w:kern w:val="0"/>
                <w:sz w:val="20"/>
                <w:szCs w:val="20"/>
              </w:rPr>
              <w:t>A15-2</w:t>
            </w:r>
            <w:r w:rsidRPr="00FA2C4F">
              <w:rPr>
                <w:rFonts w:ascii="標楷體" w:eastAsia="標楷體" w:hAnsi="標楷體" w:cs="Times New Roman" w:hint="eastAsia"/>
                <w:kern w:val="0"/>
                <w:sz w:val="20"/>
                <w:szCs w:val="20"/>
              </w:rPr>
              <w:t>、</w:t>
            </w:r>
            <w:r w:rsidRPr="00FA2C4F">
              <w:rPr>
                <w:rFonts w:ascii="標楷體" w:eastAsia="標楷體" w:hAnsi="標楷體" w:cs="Times New Roman"/>
                <w:kern w:val="0"/>
                <w:sz w:val="20"/>
                <w:szCs w:val="20"/>
              </w:rPr>
              <w:t xml:space="preserve">SCI </w:t>
            </w:r>
            <w:r w:rsidRPr="00FA2C4F">
              <w:rPr>
                <w:rFonts w:ascii="標楷體" w:eastAsia="標楷體" w:hAnsi="標楷體" w:cs="Times New Roman" w:hint="eastAsia"/>
                <w:kern w:val="0"/>
                <w:sz w:val="20"/>
                <w:szCs w:val="20"/>
              </w:rPr>
              <w:t>排名前</w:t>
            </w:r>
            <w:r w:rsidRPr="00FA2C4F">
              <w:rPr>
                <w:rFonts w:ascii="標楷體" w:eastAsia="標楷體" w:hAnsi="標楷體" w:cs="Times New Roman"/>
                <w:kern w:val="0"/>
                <w:sz w:val="20"/>
                <w:szCs w:val="20"/>
              </w:rPr>
              <w:t>10%(</w:t>
            </w:r>
            <w:r w:rsidRPr="00FA2C4F">
              <w:rPr>
                <w:rFonts w:ascii="標楷體" w:eastAsia="標楷體" w:hAnsi="標楷體" w:cs="Times New Roman" w:hint="eastAsia"/>
                <w:kern w:val="0"/>
                <w:sz w:val="20"/>
                <w:szCs w:val="20"/>
              </w:rPr>
              <w:t>含</w:t>
            </w:r>
            <w:r w:rsidRPr="00FA2C4F">
              <w:rPr>
                <w:rFonts w:ascii="標楷體" w:eastAsia="標楷體" w:hAnsi="標楷體" w:cs="Times New Roman"/>
                <w:kern w:val="0"/>
                <w:sz w:val="20"/>
                <w:szCs w:val="20"/>
              </w:rPr>
              <w:t xml:space="preserve">) </w:t>
            </w:r>
            <w:r w:rsidRPr="00FA2C4F">
              <w:rPr>
                <w:rFonts w:ascii="標楷體" w:eastAsia="標楷體" w:hAnsi="標楷體" w:cs="Times New Roman" w:hint="eastAsia"/>
                <w:kern w:val="0"/>
                <w:sz w:val="20"/>
                <w:szCs w:val="20"/>
              </w:rPr>
              <w:t>屬其他作者</w:t>
            </w:r>
            <w:r w:rsidRPr="00FA2C4F">
              <w:rPr>
                <w:rFonts w:ascii="標楷體" w:eastAsia="標楷體" w:hAnsi="標楷體" w:cs="Times New Roman"/>
                <w:kern w:val="0"/>
                <w:sz w:val="20"/>
                <w:szCs w:val="20"/>
              </w:rPr>
              <w:t xml:space="preserve">  6 </w:t>
            </w:r>
            <w:r w:rsidRPr="00FA2C4F">
              <w:rPr>
                <w:rFonts w:ascii="標楷體" w:eastAsia="標楷體" w:hAnsi="標楷體" w:cs="Times New Roman" w:hint="eastAsia"/>
                <w:kern w:val="0"/>
                <w:sz w:val="20"/>
                <w:szCs w:val="20"/>
              </w:rPr>
              <w:t>分</w:t>
            </w:r>
            <w:r w:rsidRPr="00FA2C4F">
              <w:rPr>
                <w:rFonts w:ascii="標楷體" w:eastAsia="標楷體" w:hAnsi="標楷體" w:cs="Times New Roman"/>
                <w:kern w:val="0"/>
                <w:sz w:val="20"/>
                <w:szCs w:val="20"/>
              </w:rPr>
              <w:t>/</w:t>
            </w:r>
            <w:r w:rsidRPr="00FA2C4F">
              <w:rPr>
                <w:rFonts w:ascii="標楷體" w:eastAsia="標楷體" w:hAnsi="標楷體" w:cs="Times New Roman" w:hint="eastAsia"/>
                <w:kern w:val="0"/>
                <w:sz w:val="20"/>
                <w:szCs w:val="20"/>
              </w:rPr>
              <w:t>篇</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AEEF3"/>
            <w:noWrap/>
            <w:vAlign w:val="center"/>
            <w:hideMark/>
          </w:tcPr>
          <w:p w:rsidR="00FA2C4F" w:rsidRPr="00FA2C4F" w:rsidRDefault="00FA2C4F" w:rsidP="001B4130">
            <w:pPr>
              <w:widowControl/>
              <w:spacing w:line="300" w:lineRule="exact"/>
              <w:rPr>
                <w:rFonts w:ascii="標楷體" w:eastAsia="標楷體" w:hAnsi="標楷體" w:cs="Times New Roman"/>
                <w:kern w:val="0"/>
                <w:sz w:val="20"/>
                <w:szCs w:val="20"/>
              </w:rPr>
            </w:pPr>
            <w:r w:rsidRPr="00FA2C4F">
              <w:rPr>
                <w:rFonts w:ascii="標楷體" w:eastAsia="標楷體" w:hAnsi="標楷體" w:cs="Times New Roman"/>
                <w:kern w:val="0"/>
                <w:sz w:val="20"/>
                <w:szCs w:val="20"/>
              </w:rPr>
              <w:t>A16-1</w:t>
            </w:r>
            <w:r w:rsidRPr="00FA2C4F">
              <w:rPr>
                <w:rFonts w:ascii="標楷體" w:eastAsia="標楷體" w:hAnsi="標楷體" w:cs="Times New Roman" w:hint="eastAsia"/>
                <w:kern w:val="0"/>
                <w:sz w:val="20"/>
                <w:szCs w:val="20"/>
              </w:rPr>
              <w:t>、</w:t>
            </w:r>
            <w:r w:rsidRPr="00FA2C4F">
              <w:rPr>
                <w:rFonts w:ascii="標楷體" w:eastAsia="標楷體" w:hAnsi="標楷體" w:cs="Times New Roman"/>
                <w:kern w:val="0"/>
                <w:sz w:val="20"/>
                <w:szCs w:val="20"/>
              </w:rPr>
              <w:t xml:space="preserve">SCI </w:t>
            </w:r>
            <w:r w:rsidRPr="00FA2C4F">
              <w:rPr>
                <w:rFonts w:ascii="標楷體" w:eastAsia="標楷體" w:hAnsi="標楷體" w:cs="Times New Roman" w:hint="eastAsia"/>
                <w:kern w:val="0"/>
                <w:sz w:val="20"/>
                <w:szCs w:val="20"/>
              </w:rPr>
              <w:t>排名</w:t>
            </w:r>
            <w:r w:rsidRPr="00FA2C4F">
              <w:rPr>
                <w:rFonts w:ascii="標楷體" w:eastAsia="標楷體" w:hAnsi="標楷體" w:cs="Times New Roman"/>
                <w:kern w:val="0"/>
                <w:sz w:val="20"/>
                <w:szCs w:val="20"/>
              </w:rPr>
              <w:t>10%(</w:t>
            </w:r>
            <w:r w:rsidRPr="00FA2C4F">
              <w:rPr>
                <w:rFonts w:ascii="標楷體" w:eastAsia="標楷體" w:hAnsi="標楷體" w:cs="Times New Roman" w:hint="eastAsia"/>
                <w:kern w:val="0"/>
                <w:sz w:val="20"/>
                <w:szCs w:val="20"/>
              </w:rPr>
              <w:t>不含</w:t>
            </w:r>
            <w:r w:rsidRPr="00FA2C4F">
              <w:rPr>
                <w:rFonts w:ascii="標楷體" w:eastAsia="標楷體" w:hAnsi="標楷體" w:cs="Times New Roman"/>
                <w:kern w:val="0"/>
                <w:sz w:val="20"/>
                <w:szCs w:val="20"/>
              </w:rPr>
              <w:t>)~30%(</w:t>
            </w:r>
            <w:r w:rsidRPr="00FA2C4F">
              <w:rPr>
                <w:rFonts w:ascii="標楷體" w:eastAsia="標楷體" w:hAnsi="標楷體" w:cs="Times New Roman" w:hint="eastAsia"/>
                <w:kern w:val="0"/>
                <w:sz w:val="20"/>
                <w:szCs w:val="20"/>
              </w:rPr>
              <w:t>含</w:t>
            </w:r>
            <w:r w:rsidRPr="00FA2C4F">
              <w:rPr>
                <w:rFonts w:ascii="標楷體" w:eastAsia="標楷體" w:hAnsi="標楷體" w:cs="Times New Roman"/>
                <w:kern w:val="0"/>
                <w:sz w:val="20"/>
                <w:szCs w:val="20"/>
              </w:rPr>
              <w:t xml:space="preserve">) </w:t>
            </w:r>
            <w:r w:rsidRPr="00FA2C4F">
              <w:rPr>
                <w:rFonts w:ascii="標楷體" w:eastAsia="標楷體" w:hAnsi="標楷體" w:cs="Times New Roman" w:hint="eastAsia"/>
                <w:kern w:val="0"/>
                <w:sz w:val="20"/>
                <w:szCs w:val="20"/>
              </w:rPr>
              <w:t>屬第一作者或通訊作者 9 分</w:t>
            </w:r>
            <w:r w:rsidRPr="00FA2C4F">
              <w:rPr>
                <w:rFonts w:ascii="標楷體" w:eastAsia="標楷體" w:hAnsi="標楷體" w:cs="Times New Roman"/>
                <w:kern w:val="0"/>
                <w:sz w:val="20"/>
                <w:szCs w:val="20"/>
              </w:rPr>
              <w:t>/</w:t>
            </w:r>
            <w:r w:rsidRPr="00FA2C4F">
              <w:rPr>
                <w:rFonts w:ascii="標楷體" w:eastAsia="標楷體" w:hAnsi="標楷體" w:cs="Times New Roman" w:hint="eastAsia"/>
                <w:kern w:val="0"/>
                <w:sz w:val="20"/>
                <w:szCs w:val="20"/>
              </w:rPr>
              <w:t>篇</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AEEF3"/>
            <w:noWrap/>
            <w:vAlign w:val="center"/>
            <w:hideMark/>
          </w:tcPr>
          <w:p w:rsidR="00FA2C4F" w:rsidRPr="00FA2C4F" w:rsidRDefault="00FA2C4F" w:rsidP="001B4130">
            <w:pPr>
              <w:widowControl/>
              <w:spacing w:line="300" w:lineRule="exact"/>
              <w:rPr>
                <w:rFonts w:ascii="標楷體" w:eastAsia="標楷體" w:hAnsi="標楷體" w:cs="Times New Roman"/>
                <w:kern w:val="0"/>
                <w:sz w:val="20"/>
                <w:szCs w:val="20"/>
              </w:rPr>
            </w:pPr>
            <w:r w:rsidRPr="00FA2C4F">
              <w:rPr>
                <w:rFonts w:ascii="標楷體" w:eastAsia="標楷體" w:hAnsi="標楷體" w:cs="Times New Roman"/>
                <w:kern w:val="0"/>
                <w:sz w:val="20"/>
                <w:szCs w:val="20"/>
              </w:rPr>
              <w:t>A16-2</w:t>
            </w:r>
            <w:r w:rsidRPr="00FA2C4F">
              <w:rPr>
                <w:rFonts w:ascii="標楷體" w:eastAsia="標楷體" w:hAnsi="標楷體" w:cs="Times New Roman" w:hint="eastAsia"/>
                <w:kern w:val="0"/>
                <w:sz w:val="20"/>
                <w:szCs w:val="20"/>
              </w:rPr>
              <w:t>、</w:t>
            </w:r>
            <w:r w:rsidRPr="00FA2C4F">
              <w:rPr>
                <w:rFonts w:ascii="標楷體" w:eastAsia="標楷體" w:hAnsi="標楷體" w:cs="Times New Roman"/>
                <w:kern w:val="0"/>
                <w:sz w:val="20"/>
                <w:szCs w:val="20"/>
              </w:rPr>
              <w:t xml:space="preserve">SCI </w:t>
            </w:r>
            <w:r w:rsidRPr="00FA2C4F">
              <w:rPr>
                <w:rFonts w:ascii="標楷體" w:eastAsia="標楷體" w:hAnsi="標楷體" w:cs="Times New Roman" w:hint="eastAsia"/>
                <w:kern w:val="0"/>
                <w:sz w:val="20"/>
                <w:szCs w:val="20"/>
              </w:rPr>
              <w:t>排名</w:t>
            </w:r>
            <w:r w:rsidRPr="00FA2C4F">
              <w:rPr>
                <w:rFonts w:ascii="標楷體" w:eastAsia="標楷體" w:hAnsi="標楷體" w:cs="Times New Roman"/>
                <w:kern w:val="0"/>
                <w:sz w:val="20"/>
                <w:szCs w:val="20"/>
              </w:rPr>
              <w:t>10%(</w:t>
            </w:r>
            <w:r w:rsidRPr="00FA2C4F">
              <w:rPr>
                <w:rFonts w:ascii="標楷體" w:eastAsia="標楷體" w:hAnsi="標楷體" w:cs="Times New Roman" w:hint="eastAsia"/>
                <w:kern w:val="0"/>
                <w:sz w:val="20"/>
                <w:szCs w:val="20"/>
              </w:rPr>
              <w:t>不含</w:t>
            </w:r>
            <w:r w:rsidRPr="00FA2C4F">
              <w:rPr>
                <w:rFonts w:ascii="標楷體" w:eastAsia="標楷體" w:hAnsi="標楷體" w:cs="Times New Roman"/>
                <w:kern w:val="0"/>
                <w:sz w:val="20"/>
                <w:szCs w:val="20"/>
              </w:rPr>
              <w:t>)~30%(</w:t>
            </w:r>
            <w:r w:rsidRPr="00FA2C4F">
              <w:rPr>
                <w:rFonts w:ascii="標楷體" w:eastAsia="標楷體" w:hAnsi="標楷體" w:cs="Times New Roman" w:hint="eastAsia"/>
                <w:kern w:val="0"/>
                <w:sz w:val="20"/>
                <w:szCs w:val="20"/>
              </w:rPr>
              <w:t>含</w:t>
            </w:r>
            <w:r w:rsidRPr="00FA2C4F">
              <w:rPr>
                <w:rFonts w:ascii="標楷體" w:eastAsia="標楷體" w:hAnsi="標楷體" w:cs="Times New Roman"/>
                <w:kern w:val="0"/>
                <w:sz w:val="20"/>
                <w:szCs w:val="20"/>
              </w:rPr>
              <w:t xml:space="preserve">) </w:t>
            </w:r>
            <w:r w:rsidRPr="00FA2C4F">
              <w:rPr>
                <w:rFonts w:ascii="標楷體" w:eastAsia="標楷體" w:hAnsi="標楷體" w:cs="Times New Roman" w:hint="eastAsia"/>
                <w:kern w:val="0"/>
                <w:sz w:val="20"/>
                <w:szCs w:val="20"/>
              </w:rPr>
              <w:t>屬其他作者</w:t>
            </w:r>
            <w:r w:rsidRPr="00FA2C4F">
              <w:rPr>
                <w:rFonts w:ascii="標楷體" w:eastAsia="標楷體" w:hAnsi="標楷體" w:cs="Times New Roman"/>
                <w:kern w:val="0"/>
                <w:sz w:val="20"/>
                <w:szCs w:val="20"/>
              </w:rPr>
              <w:t xml:space="preserve">  4.5 </w:t>
            </w:r>
            <w:r w:rsidRPr="00FA2C4F">
              <w:rPr>
                <w:rFonts w:ascii="標楷體" w:eastAsia="標楷體" w:hAnsi="標楷體" w:cs="Times New Roman" w:hint="eastAsia"/>
                <w:kern w:val="0"/>
                <w:sz w:val="20"/>
                <w:szCs w:val="20"/>
              </w:rPr>
              <w:t>分</w:t>
            </w:r>
            <w:r w:rsidRPr="00FA2C4F">
              <w:rPr>
                <w:rFonts w:ascii="標楷體" w:eastAsia="標楷體" w:hAnsi="標楷體" w:cs="Times New Roman"/>
                <w:kern w:val="0"/>
                <w:sz w:val="20"/>
                <w:szCs w:val="20"/>
              </w:rPr>
              <w:t>/</w:t>
            </w:r>
            <w:r w:rsidRPr="00FA2C4F">
              <w:rPr>
                <w:rFonts w:ascii="標楷體" w:eastAsia="標楷體" w:hAnsi="標楷體" w:cs="Times New Roman" w:hint="eastAsia"/>
                <w:kern w:val="0"/>
                <w:sz w:val="20"/>
                <w:szCs w:val="20"/>
              </w:rPr>
              <w:t>篇</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AEEF3"/>
            <w:noWrap/>
            <w:vAlign w:val="center"/>
            <w:hideMark/>
          </w:tcPr>
          <w:p w:rsidR="00FA2C4F" w:rsidRPr="00FA2C4F" w:rsidRDefault="00FA2C4F" w:rsidP="001B4130">
            <w:pPr>
              <w:widowControl/>
              <w:spacing w:line="300" w:lineRule="exact"/>
              <w:rPr>
                <w:rFonts w:ascii="標楷體" w:eastAsia="標楷體" w:hAnsi="標楷體" w:cs="Times New Roman"/>
                <w:kern w:val="0"/>
                <w:sz w:val="20"/>
                <w:szCs w:val="20"/>
              </w:rPr>
            </w:pPr>
            <w:r w:rsidRPr="00FA2C4F">
              <w:rPr>
                <w:rFonts w:ascii="標楷體" w:eastAsia="標楷體" w:hAnsi="標楷體" w:cs="Times New Roman"/>
                <w:kern w:val="0"/>
                <w:sz w:val="20"/>
                <w:szCs w:val="20"/>
              </w:rPr>
              <w:t>A17-1</w:t>
            </w:r>
            <w:r w:rsidRPr="00FA2C4F">
              <w:rPr>
                <w:rFonts w:ascii="標楷體" w:eastAsia="標楷體" w:hAnsi="標楷體" w:cs="Times New Roman" w:hint="eastAsia"/>
                <w:kern w:val="0"/>
                <w:sz w:val="20"/>
                <w:szCs w:val="20"/>
              </w:rPr>
              <w:t>、</w:t>
            </w:r>
            <w:r w:rsidRPr="00FA2C4F">
              <w:rPr>
                <w:rFonts w:ascii="標楷體" w:eastAsia="標楷體" w:hAnsi="標楷體" w:cs="Times New Roman"/>
                <w:kern w:val="0"/>
                <w:sz w:val="20"/>
                <w:szCs w:val="20"/>
              </w:rPr>
              <w:t xml:space="preserve">SCI </w:t>
            </w:r>
            <w:r w:rsidRPr="00FA2C4F">
              <w:rPr>
                <w:rFonts w:ascii="標楷體" w:eastAsia="標楷體" w:hAnsi="標楷體" w:cs="Times New Roman" w:hint="eastAsia"/>
                <w:kern w:val="0"/>
                <w:sz w:val="20"/>
                <w:szCs w:val="20"/>
              </w:rPr>
              <w:t>排名</w:t>
            </w:r>
            <w:r w:rsidRPr="00FA2C4F">
              <w:rPr>
                <w:rFonts w:ascii="標楷體" w:eastAsia="標楷體" w:hAnsi="標楷體" w:cs="Times New Roman"/>
                <w:kern w:val="0"/>
                <w:sz w:val="20"/>
                <w:szCs w:val="20"/>
              </w:rPr>
              <w:t>30%(</w:t>
            </w:r>
            <w:r w:rsidRPr="00FA2C4F">
              <w:rPr>
                <w:rFonts w:ascii="標楷體" w:eastAsia="標楷體" w:hAnsi="標楷體" w:cs="Times New Roman" w:hint="eastAsia"/>
                <w:kern w:val="0"/>
                <w:sz w:val="20"/>
                <w:szCs w:val="20"/>
              </w:rPr>
              <w:t>不含</w:t>
            </w:r>
            <w:r w:rsidRPr="00FA2C4F">
              <w:rPr>
                <w:rFonts w:ascii="標楷體" w:eastAsia="標楷體" w:hAnsi="標楷體" w:cs="Times New Roman"/>
                <w:kern w:val="0"/>
                <w:sz w:val="20"/>
                <w:szCs w:val="20"/>
              </w:rPr>
              <w:t>)~70%(</w:t>
            </w:r>
            <w:r w:rsidRPr="00FA2C4F">
              <w:rPr>
                <w:rFonts w:ascii="標楷體" w:eastAsia="標楷體" w:hAnsi="標楷體" w:cs="Times New Roman" w:hint="eastAsia"/>
                <w:kern w:val="0"/>
                <w:sz w:val="20"/>
                <w:szCs w:val="20"/>
              </w:rPr>
              <w:t>含</w:t>
            </w:r>
            <w:r w:rsidRPr="00FA2C4F">
              <w:rPr>
                <w:rFonts w:ascii="標楷體" w:eastAsia="標楷體" w:hAnsi="標楷體" w:cs="Times New Roman"/>
                <w:kern w:val="0"/>
                <w:sz w:val="20"/>
                <w:szCs w:val="20"/>
              </w:rPr>
              <w:t xml:space="preserve">) </w:t>
            </w:r>
            <w:r w:rsidRPr="00FA2C4F">
              <w:rPr>
                <w:rFonts w:ascii="標楷體" w:eastAsia="標楷體" w:hAnsi="標楷體" w:cs="Times New Roman" w:hint="eastAsia"/>
                <w:kern w:val="0"/>
                <w:sz w:val="20"/>
                <w:szCs w:val="20"/>
              </w:rPr>
              <w:t xml:space="preserve">屬第一作者或通訊作者  </w:t>
            </w:r>
            <w:r w:rsidRPr="00FA2C4F">
              <w:rPr>
                <w:rFonts w:ascii="標楷體" w:eastAsia="標楷體" w:hAnsi="標楷體" w:cs="Times New Roman"/>
                <w:kern w:val="0"/>
                <w:sz w:val="20"/>
                <w:szCs w:val="20"/>
              </w:rPr>
              <w:t xml:space="preserve">6 </w:t>
            </w:r>
            <w:r w:rsidRPr="00FA2C4F">
              <w:rPr>
                <w:rFonts w:ascii="標楷體" w:eastAsia="標楷體" w:hAnsi="標楷體" w:cs="Times New Roman" w:hint="eastAsia"/>
                <w:kern w:val="0"/>
                <w:sz w:val="20"/>
                <w:szCs w:val="20"/>
              </w:rPr>
              <w:t>分</w:t>
            </w:r>
            <w:r w:rsidRPr="00FA2C4F">
              <w:rPr>
                <w:rFonts w:ascii="標楷體" w:eastAsia="標楷體" w:hAnsi="標楷體" w:cs="Times New Roman"/>
                <w:kern w:val="0"/>
                <w:sz w:val="20"/>
                <w:szCs w:val="20"/>
              </w:rPr>
              <w:t>/</w:t>
            </w:r>
            <w:r w:rsidRPr="00FA2C4F">
              <w:rPr>
                <w:rFonts w:ascii="標楷體" w:eastAsia="標楷體" w:hAnsi="標楷體" w:cs="Times New Roman" w:hint="eastAsia"/>
                <w:kern w:val="0"/>
                <w:sz w:val="20"/>
                <w:szCs w:val="20"/>
              </w:rPr>
              <w:t>篇</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AEEF3"/>
            <w:noWrap/>
            <w:vAlign w:val="center"/>
            <w:hideMark/>
          </w:tcPr>
          <w:p w:rsidR="00FA2C4F" w:rsidRPr="00FA2C4F" w:rsidRDefault="00FA2C4F" w:rsidP="001B4130">
            <w:pPr>
              <w:widowControl/>
              <w:spacing w:line="300" w:lineRule="exact"/>
              <w:rPr>
                <w:rFonts w:ascii="標楷體" w:eastAsia="標楷體" w:hAnsi="標楷體" w:cs="Times New Roman"/>
                <w:kern w:val="0"/>
                <w:sz w:val="20"/>
                <w:szCs w:val="20"/>
              </w:rPr>
            </w:pPr>
            <w:r w:rsidRPr="00FA2C4F">
              <w:rPr>
                <w:rFonts w:ascii="標楷體" w:eastAsia="標楷體" w:hAnsi="標楷體" w:cs="Times New Roman"/>
                <w:kern w:val="0"/>
                <w:sz w:val="20"/>
                <w:szCs w:val="20"/>
              </w:rPr>
              <w:t>A17-2</w:t>
            </w:r>
            <w:r w:rsidRPr="00FA2C4F">
              <w:rPr>
                <w:rFonts w:ascii="標楷體" w:eastAsia="標楷體" w:hAnsi="標楷體" w:cs="Times New Roman" w:hint="eastAsia"/>
                <w:kern w:val="0"/>
                <w:sz w:val="20"/>
                <w:szCs w:val="20"/>
              </w:rPr>
              <w:t>、</w:t>
            </w:r>
            <w:r w:rsidRPr="00FA2C4F">
              <w:rPr>
                <w:rFonts w:ascii="標楷體" w:eastAsia="標楷體" w:hAnsi="標楷體" w:cs="Times New Roman"/>
                <w:kern w:val="0"/>
                <w:sz w:val="20"/>
                <w:szCs w:val="20"/>
              </w:rPr>
              <w:t xml:space="preserve">SCI </w:t>
            </w:r>
            <w:r w:rsidRPr="00FA2C4F">
              <w:rPr>
                <w:rFonts w:ascii="標楷體" w:eastAsia="標楷體" w:hAnsi="標楷體" w:cs="Times New Roman" w:hint="eastAsia"/>
                <w:kern w:val="0"/>
                <w:sz w:val="20"/>
                <w:szCs w:val="20"/>
              </w:rPr>
              <w:t>排名</w:t>
            </w:r>
            <w:r w:rsidRPr="00FA2C4F">
              <w:rPr>
                <w:rFonts w:ascii="標楷體" w:eastAsia="標楷體" w:hAnsi="標楷體" w:cs="Times New Roman"/>
                <w:kern w:val="0"/>
                <w:sz w:val="20"/>
                <w:szCs w:val="20"/>
              </w:rPr>
              <w:t>30%(</w:t>
            </w:r>
            <w:r w:rsidRPr="00FA2C4F">
              <w:rPr>
                <w:rFonts w:ascii="標楷體" w:eastAsia="標楷體" w:hAnsi="標楷體" w:cs="Times New Roman" w:hint="eastAsia"/>
                <w:kern w:val="0"/>
                <w:sz w:val="20"/>
                <w:szCs w:val="20"/>
              </w:rPr>
              <w:t>不含</w:t>
            </w:r>
            <w:r w:rsidRPr="00FA2C4F">
              <w:rPr>
                <w:rFonts w:ascii="標楷體" w:eastAsia="標楷體" w:hAnsi="標楷體" w:cs="Times New Roman"/>
                <w:kern w:val="0"/>
                <w:sz w:val="20"/>
                <w:szCs w:val="20"/>
              </w:rPr>
              <w:t>)~70%(</w:t>
            </w:r>
            <w:r w:rsidRPr="00FA2C4F">
              <w:rPr>
                <w:rFonts w:ascii="標楷體" w:eastAsia="標楷體" w:hAnsi="標楷體" w:cs="Times New Roman" w:hint="eastAsia"/>
                <w:kern w:val="0"/>
                <w:sz w:val="20"/>
                <w:szCs w:val="20"/>
              </w:rPr>
              <w:t>含</w:t>
            </w:r>
            <w:r w:rsidRPr="00FA2C4F">
              <w:rPr>
                <w:rFonts w:ascii="標楷體" w:eastAsia="標楷體" w:hAnsi="標楷體" w:cs="Times New Roman"/>
                <w:kern w:val="0"/>
                <w:sz w:val="20"/>
                <w:szCs w:val="20"/>
              </w:rPr>
              <w:t xml:space="preserve">) </w:t>
            </w:r>
            <w:r w:rsidRPr="00FA2C4F">
              <w:rPr>
                <w:rFonts w:ascii="標楷體" w:eastAsia="標楷體" w:hAnsi="標楷體" w:cs="Times New Roman" w:hint="eastAsia"/>
                <w:kern w:val="0"/>
                <w:sz w:val="20"/>
                <w:szCs w:val="20"/>
              </w:rPr>
              <w:t>屬其他作者</w:t>
            </w:r>
            <w:r w:rsidRPr="00FA2C4F">
              <w:rPr>
                <w:rFonts w:ascii="標楷體" w:eastAsia="標楷體" w:hAnsi="標楷體" w:cs="Times New Roman"/>
                <w:kern w:val="0"/>
                <w:sz w:val="20"/>
                <w:szCs w:val="20"/>
              </w:rPr>
              <w:t xml:space="preserve">  3 </w:t>
            </w:r>
            <w:r w:rsidRPr="00FA2C4F">
              <w:rPr>
                <w:rFonts w:ascii="標楷體" w:eastAsia="標楷體" w:hAnsi="標楷體" w:cs="Times New Roman" w:hint="eastAsia"/>
                <w:kern w:val="0"/>
                <w:sz w:val="20"/>
                <w:szCs w:val="20"/>
              </w:rPr>
              <w:t>分</w:t>
            </w:r>
            <w:r w:rsidRPr="00FA2C4F">
              <w:rPr>
                <w:rFonts w:ascii="標楷體" w:eastAsia="標楷體" w:hAnsi="標楷體" w:cs="Times New Roman"/>
                <w:kern w:val="0"/>
                <w:sz w:val="20"/>
                <w:szCs w:val="20"/>
              </w:rPr>
              <w:t>/</w:t>
            </w:r>
            <w:r w:rsidRPr="00FA2C4F">
              <w:rPr>
                <w:rFonts w:ascii="標楷體" w:eastAsia="標楷體" w:hAnsi="標楷體" w:cs="Times New Roman" w:hint="eastAsia"/>
                <w:kern w:val="0"/>
                <w:sz w:val="20"/>
                <w:szCs w:val="20"/>
              </w:rPr>
              <w:t>篇</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AEEF3"/>
            <w:noWrap/>
            <w:vAlign w:val="center"/>
            <w:hideMark/>
          </w:tcPr>
          <w:p w:rsidR="00FA2C4F" w:rsidRPr="00FA2C4F" w:rsidRDefault="00FA2C4F" w:rsidP="001B4130">
            <w:pPr>
              <w:widowControl/>
              <w:spacing w:line="300" w:lineRule="exact"/>
              <w:rPr>
                <w:rFonts w:ascii="標楷體" w:eastAsia="標楷體" w:hAnsi="標楷體" w:cs="Times New Roman"/>
                <w:kern w:val="0"/>
                <w:sz w:val="20"/>
                <w:szCs w:val="20"/>
              </w:rPr>
            </w:pPr>
            <w:r w:rsidRPr="00FA2C4F">
              <w:rPr>
                <w:rFonts w:ascii="標楷體" w:eastAsia="標楷體" w:hAnsi="標楷體" w:cs="Times New Roman" w:hint="eastAsia"/>
                <w:kern w:val="0"/>
                <w:sz w:val="20"/>
                <w:szCs w:val="20"/>
              </w:rPr>
              <w:t>A18-1、</w:t>
            </w:r>
            <w:r w:rsidRPr="00FA2C4F">
              <w:rPr>
                <w:rFonts w:ascii="標楷體" w:eastAsia="標楷體" w:hAnsi="標楷體" w:cs="Times New Roman"/>
                <w:kern w:val="0"/>
                <w:sz w:val="20"/>
                <w:szCs w:val="20"/>
              </w:rPr>
              <w:t xml:space="preserve">TSSCI </w:t>
            </w:r>
            <w:r w:rsidRPr="00FA2C4F">
              <w:rPr>
                <w:rFonts w:ascii="標楷體" w:eastAsia="標楷體" w:hAnsi="標楷體" w:cs="Times New Roman" w:hint="eastAsia"/>
                <w:kern w:val="0"/>
                <w:sz w:val="20"/>
                <w:szCs w:val="20"/>
              </w:rPr>
              <w:t>為評比第一級期刊 屬第一作者或通訊作者 6 分/篇</w:t>
            </w:r>
          </w:p>
        </w:tc>
      </w:tr>
      <w:tr w:rsidR="00FA2C4F" w:rsidRPr="000F74FD" w:rsidTr="001B4130">
        <w:trPr>
          <w:trHeight w:val="34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AEEF3"/>
            <w:noWrap/>
            <w:vAlign w:val="center"/>
            <w:hideMark/>
          </w:tcPr>
          <w:p w:rsidR="00FA2C4F" w:rsidRPr="00FA2C4F" w:rsidRDefault="00FA2C4F" w:rsidP="001B4130">
            <w:pPr>
              <w:widowControl/>
              <w:spacing w:line="300" w:lineRule="exact"/>
              <w:rPr>
                <w:rFonts w:ascii="標楷體" w:eastAsia="標楷體" w:hAnsi="標楷體" w:cs="Times New Roman"/>
                <w:kern w:val="0"/>
                <w:sz w:val="20"/>
                <w:szCs w:val="20"/>
              </w:rPr>
            </w:pPr>
            <w:r w:rsidRPr="00FA2C4F">
              <w:rPr>
                <w:rFonts w:ascii="標楷體" w:eastAsia="標楷體" w:hAnsi="標楷體" w:cs="Times New Roman" w:hint="eastAsia"/>
                <w:kern w:val="0"/>
                <w:sz w:val="20"/>
                <w:szCs w:val="20"/>
              </w:rPr>
              <w:t>A18-2、</w:t>
            </w:r>
            <w:r w:rsidRPr="00FA2C4F">
              <w:rPr>
                <w:rFonts w:ascii="標楷體" w:eastAsia="標楷體" w:hAnsi="標楷體" w:cs="Times New Roman"/>
                <w:kern w:val="0"/>
                <w:sz w:val="20"/>
                <w:szCs w:val="20"/>
              </w:rPr>
              <w:t xml:space="preserve">TSSCI </w:t>
            </w:r>
            <w:r w:rsidRPr="00FA2C4F">
              <w:rPr>
                <w:rFonts w:ascii="標楷體" w:eastAsia="標楷體" w:hAnsi="標楷體" w:cs="Times New Roman" w:hint="eastAsia"/>
                <w:kern w:val="0"/>
                <w:sz w:val="20"/>
                <w:szCs w:val="20"/>
              </w:rPr>
              <w:t>為評比第一級期刊 屬其他作者 3 分/篇</w:t>
            </w:r>
          </w:p>
        </w:tc>
      </w:tr>
      <w:tr w:rsidR="00FA2C4F" w:rsidRPr="000F74FD" w:rsidTr="001B4130">
        <w:trPr>
          <w:trHeight w:val="68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AEEF3"/>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A19-1、通過科技部審查獲得補助之專書，或經正式審查程序通過並出版具有ISBN之學術專書 英文專書 24 分/本(以2本為限)</w:t>
            </w:r>
          </w:p>
        </w:tc>
      </w:tr>
      <w:tr w:rsidR="00FA2C4F" w:rsidRPr="000F74FD" w:rsidTr="001B4130">
        <w:trPr>
          <w:trHeight w:val="5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AEEF3"/>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A19-2、通過科技部審查獲得補助之專書，或經正式審查程序通過並出版具有ISBN之學術專書中文專書  9 分/本(以2本為限)</w:t>
            </w:r>
          </w:p>
        </w:tc>
      </w:tr>
      <w:tr w:rsidR="00FA2C4F" w:rsidRPr="000F74FD" w:rsidTr="001B4130">
        <w:trPr>
          <w:trHeight w:val="81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AEEF3"/>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A19-3、通過科技部審查獲得補助之專書，或經正式審查程序通過並出版具有ISBN之學術專書 英文專章 5 分/章(以2篇為限，同一篇專書或專章不得重複）</w:t>
            </w:r>
          </w:p>
        </w:tc>
      </w:tr>
      <w:tr w:rsidR="00FA2C4F" w:rsidRPr="000F74FD" w:rsidTr="001B4130">
        <w:trPr>
          <w:trHeight w:val="81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AEEF3"/>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A19-4、通過科技部審查獲得補助之專書，或經正式審查程序通過並出版具有ISBN之學術專書中文專章 3 分/章(以2篇為限，同一篇專書或專章不得重複）</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AEEF3"/>
            <w:noWrap/>
            <w:vAlign w:val="center"/>
            <w:hideMark/>
          </w:tcPr>
          <w:p w:rsidR="00FA2C4F" w:rsidRPr="00FA2C4F" w:rsidRDefault="00FA2C4F" w:rsidP="001B4130">
            <w:pPr>
              <w:widowControl/>
              <w:spacing w:line="300" w:lineRule="exact"/>
              <w:jc w:val="right"/>
              <w:rPr>
                <w:rFonts w:ascii="標楷體" w:eastAsia="標楷體" w:hAnsi="標楷體" w:cs="新細明體"/>
                <w:bCs/>
                <w:kern w:val="0"/>
                <w:sz w:val="20"/>
                <w:szCs w:val="20"/>
              </w:rPr>
            </w:pPr>
            <w:r w:rsidRPr="00FA2C4F">
              <w:rPr>
                <w:rFonts w:ascii="標楷體" w:eastAsia="標楷體" w:hAnsi="標楷體" w:cs="新細明體" w:hint="eastAsia"/>
                <w:bCs/>
                <w:kern w:val="0"/>
                <w:sz w:val="20"/>
                <w:szCs w:val="20"/>
              </w:rPr>
              <w:t>A1(上限40分)論文小計</w:t>
            </w:r>
          </w:p>
        </w:tc>
      </w:tr>
      <w:tr w:rsidR="00FA2C4F" w:rsidRPr="000F74FD" w:rsidTr="001B4130">
        <w:trPr>
          <w:trHeight w:val="81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C4F" w:rsidRPr="00FA2C4F" w:rsidRDefault="00FA2C4F" w:rsidP="001B4130">
            <w:pPr>
              <w:widowControl/>
              <w:spacing w:line="300" w:lineRule="exact"/>
              <w:jc w:val="center"/>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A2計畫</w:t>
            </w:r>
            <w:r w:rsidRPr="00FA2C4F">
              <w:rPr>
                <w:rFonts w:ascii="標楷體" w:eastAsia="標楷體" w:hAnsi="標楷體" w:cs="新細明體" w:hint="eastAsia"/>
                <w:kern w:val="0"/>
                <w:sz w:val="20"/>
                <w:szCs w:val="20"/>
              </w:rPr>
              <w:br/>
              <w:t>(參考升等指標及計分)</w:t>
            </w:r>
          </w:p>
        </w:tc>
        <w:tc>
          <w:tcPr>
            <w:tcW w:w="8056" w:type="dxa"/>
            <w:tcBorders>
              <w:top w:val="nil"/>
              <w:left w:val="nil"/>
              <w:bottom w:val="single" w:sz="4" w:space="0" w:color="auto"/>
              <w:right w:val="single" w:sz="8" w:space="0" w:color="auto"/>
            </w:tcBorders>
            <w:shd w:val="clear" w:color="auto" w:fill="auto"/>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A21、經研發處認定之科技部研究計畫：</w:t>
            </w:r>
            <w:r w:rsidRPr="00FA2C4F">
              <w:rPr>
                <w:rFonts w:ascii="標楷體" w:eastAsia="標楷體" w:hAnsi="標楷體" w:cs="新細明體" w:hint="eastAsia"/>
                <w:kern w:val="0"/>
                <w:sz w:val="20"/>
                <w:szCs w:val="20"/>
              </w:rPr>
              <w:br/>
              <w:t>專題研究計畫 六個月(含)以上，每年每件 12 分；未達六個月，每年每件 6 分</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auto" w:fill="auto"/>
            <w:vAlign w:val="center"/>
            <w:hideMark/>
          </w:tcPr>
          <w:p w:rsidR="00FA2C4F" w:rsidRPr="00FA2C4F" w:rsidRDefault="00FA2C4F" w:rsidP="001B4130">
            <w:pPr>
              <w:widowControl/>
              <w:spacing w:line="300" w:lineRule="exact"/>
              <w:jc w:val="both"/>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A22、教育部教學實踐研究計畫，每年每件 2 分。</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auto" w:fill="auto"/>
            <w:vAlign w:val="center"/>
            <w:hideMark/>
          </w:tcPr>
          <w:p w:rsidR="00FA2C4F" w:rsidRPr="00FA2C4F" w:rsidRDefault="00FA2C4F" w:rsidP="001B4130">
            <w:pPr>
              <w:widowControl/>
              <w:spacing w:line="300" w:lineRule="exact"/>
              <w:jc w:val="right"/>
              <w:rPr>
                <w:rFonts w:ascii="標楷體" w:eastAsia="標楷體" w:hAnsi="標楷體" w:cs="新細明體"/>
                <w:bCs/>
                <w:kern w:val="0"/>
                <w:sz w:val="20"/>
                <w:szCs w:val="20"/>
              </w:rPr>
            </w:pPr>
            <w:r w:rsidRPr="00FA2C4F">
              <w:rPr>
                <w:rFonts w:ascii="標楷體" w:eastAsia="標楷體" w:hAnsi="標楷體" w:cs="新細明體" w:hint="eastAsia"/>
                <w:bCs/>
                <w:kern w:val="0"/>
                <w:sz w:val="20"/>
                <w:szCs w:val="20"/>
              </w:rPr>
              <w:t>A2(上限60分)計畫小計</w:t>
            </w:r>
          </w:p>
        </w:tc>
      </w:tr>
      <w:tr w:rsidR="00FA2C4F" w:rsidRPr="000F74FD" w:rsidTr="001B4130">
        <w:trPr>
          <w:trHeight w:val="35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9356" w:type="dxa"/>
            <w:gridSpan w:val="3"/>
            <w:tcBorders>
              <w:top w:val="single" w:sz="4" w:space="0" w:color="auto"/>
              <w:left w:val="nil"/>
              <w:bottom w:val="single" w:sz="8" w:space="0" w:color="auto"/>
              <w:right w:val="single" w:sz="8" w:space="0" w:color="000000"/>
            </w:tcBorders>
            <w:shd w:val="clear" w:color="000000" w:fill="FFFF00"/>
            <w:vAlign w:val="center"/>
            <w:hideMark/>
          </w:tcPr>
          <w:p w:rsidR="00FA2C4F" w:rsidRPr="00FA2C4F" w:rsidRDefault="00FA2C4F" w:rsidP="001B4130">
            <w:pPr>
              <w:widowControl/>
              <w:spacing w:line="300" w:lineRule="exact"/>
              <w:jc w:val="right"/>
              <w:rPr>
                <w:rFonts w:ascii="標楷體" w:eastAsia="標楷體" w:hAnsi="標楷體" w:cs="新細明體"/>
                <w:bCs/>
                <w:kern w:val="0"/>
                <w:sz w:val="20"/>
                <w:szCs w:val="20"/>
              </w:rPr>
            </w:pPr>
            <w:r w:rsidRPr="00FA2C4F">
              <w:rPr>
                <w:rFonts w:ascii="標楷體" w:eastAsia="標楷體" w:hAnsi="標楷體" w:cs="新細明體" w:hint="eastAsia"/>
                <w:bCs/>
                <w:kern w:val="0"/>
                <w:sz w:val="20"/>
                <w:szCs w:val="20"/>
              </w:rPr>
              <w:t>研究(至多100分)小計</w:t>
            </w:r>
          </w:p>
        </w:tc>
      </w:tr>
      <w:tr w:rsidR="00FA2C4F" w:rsidRPr="000F74FD" w:rsidTr="001B4130">
        <w:trPr>
          <w:trHeight w:val="3138"/>
        </w:trPr>
        <w:tc>
          <w:tcPr>
            <w:tcW w:w="557" w:type="dxa"/>
            <w:vMerge w:val="restart"/>
            <w:tcBorders>
              <w:top w:val="nil"/>
              <w:left w:val="single" w:sz="8" w:space="0" w:color="auto"/>
              <w:bottom w:val="single" w:sz="8" w:space="0" w:color="000000"/>
              <w:right w:val="single" w:sz="4" w:space="0" w:color="auto"/>
            </w:tcBorders>
            <w:shd w:val="clear" w:color="000000" w:fill="FDE9D9"/>
            <w:vAlign w:val="center"/>
            <w:hideMark/>
          </w:tcPr>
          <w:p w:rsidR="00FA2C4F" w:rsidRPr="00FA2C4F" w:rsidRDefault="00FA2C4F" w:rsidP="001B4130">
            <w:pPr>
              <w:widowControl/>
              <w:spacing w:line="300" w:lineRule="exact"/>
              <w:jc w:val="center"/>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 xml:space="preserve">B.  </w:t>
            </w:r>
            <w:r w:rsidRPr="00FA2C4F">
              <w:rPr>
                <w:rFonts w:ascii="標楷體" w:eastAsia="標楷體" w:hAnsi="標楷體" w:cs="新細明體" w:hint="eastAsia"/>
                <w:kern w:val="0"/>
                <w:sz w:val="20"/>
                <w:szCs w:val="20"/>
              </w:rPr>
              <w:br w:type="page"/>
              <w:t>教學(教務處訂)</w:t>
            </w:r>
          </w:p>
        </w:tc>
        <w:tc>
          <w:tcPr>
            <w:tcW w:w="1300" w:type="dxa"/>
            <w:gridSpan w:val="2"/>
            <w:tcBorders>
              <w:top w:val="single" w:sz="8" w:space="0" w:color="auto"/>
              <w:left w:val="nil"/>
              <w:bottom w:val="single" w:sz="4" w:space="0" w:color="auto"/>
              <w:right w:val="single" w:sz="4" w:space="0" w:color="auto"/>
            </w:tcBorders>
            <w:shd w:val="clear" w:color="000000" w:fill="FDE9D9"/>
            <w:vAlign w:val="center"/>
            <w:hideMark/>
          </w:tcPr>
          <w:p w:rsidR="00FA2C4F" w:rsidRPr="00FA2C4F" w:rsidRDefault="00FA2C4F" w:rsidP="001B4130">
            <w:pPr>
              <w:widowControl/>
              <w:spacing w:line="300" w:lineRule="exact"/>
              <w:jc w:val="center"/>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B0</w:t>
            </w:r>
            <w:r w:rsidRPr="00FA2C4F">
              <w:rPr>
                <w:rFonts w:ascii="標楷體" w:eastAsia="標楷體" w:hAnsi="標楷體" w:cs="新細明體" w:hint="eastAsia"/>
                <w:kern w:val="0"/>
                <w:sz w:val="20"/>
                <w:szCs w:val="20"/>
              </w:rPr>
              <w:br w:type="page"/>
              <w:t>教學基本門檻</w:t>
            </w:r>
          </w:p>
        </w:tc>
        <w:tc>
          <w:tcPr>
            <w:tcW w:w="8056" w:type="dxa"/>
            <w:tcBorders>
              <w:top w:val="nil"/>
              <w:left w:val="nil"/>
              <w:bottom w:val="single" w:sz="4" w:space="0" w:color="auto"/>
              <w:right w:val="single" w:sz="8" w:space="0" w:color="auto"/>
            </w:tcBorders>
            <w:shd w:val="clear" w:color="000000" w:fill="FDE9D9"/>
            <w:vAlign w:val="center"/>
            <w:hideMark/>
          </w:tcPr>
          <w:p w:rsidR="00FA2C4F" w:rsidRPr="00FA2C4F" w:rsidRDefault="00FA2C4F" w:rsidP="001B4130">
            <w:pPr>
              <w:widowControl/>
              <w:spacing w:line="300" w:lineRule="exact"/>
              <w:rPr>
                <w:rFonts w:ascii="標楷體" w:eastAsia="標楷體" w:hAnsi="標楷體" w:cs="新細明體"/>
                <w:bCs/>
                <w:kern w:val="0"/>
                <w:sz w:val="20"/>
                <w:szCs w:val="20"/>
              </w:rPr>
            </w:pPr>
            <w:r w:rsidRPr="00FA2C4F">
              <w:rPr>
                <w:rFonts w:ascii="標楷體" w:eastAsia="標楷體" w:hAnsi="標楷體" w:cs="新細明體" w:hint="eastAsia"/>
                <w:bCs/>
                <w:kern w:val="0"/>
                <w:sz w:val="20"/>
                <w:szCs w:val="20"/>
              </w:rPr>
              <w:t>*教學基本門檻各項均應達成，即獲60分基本分。若基本門檻任一項目有未達成者，即教學項目未通過評鑑。</w:t>
            </w:r>
          </w:p>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br w:type="page"/>
              <w:t>B01、教師授課時數依「本校教學授課鐘點核計準則」規定，授課時收如未達每週基本授課時數者，應於一學年內補足。未符合本規定者，教學項目應評定為不通過。</w:t>
            </w:r>
          </w:p>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br w:type="page"/>
              <w:t>B02、教師至少三個學年度平均教學當量高於(等於)系所後30%之落點平均當量。</w:t>
            </w:r>
          </w:p>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br w:type="page"/>
              <w:t>B03、教師至少六個學期授課之教學意見調查平均得分高於(等於)院後5%之落點平均得分。</w:t>
            </w:r>
            <w:r w:rsidRPr="00FA2C4F">
              <w:rPr>
                <w:rFonts w:ascii="標楷體" w:eastAsia="標楷體" w:hAnsi="標楷體" w:cs="新細明體" w:hint="eastAsia"/>
                <w:kern w:val="0"/>
                <w:sz w:val="20"/>
                <w:szCs w:val="20"/>
              </w:rPr>
              <w:br w:type="page"/>
              <w:t>B04、評鑑年限內，參與新進教師研習、微型教學及任一共學群之教師社群活動，各至少1場。</w:t>
            </w:r>
          </w:p>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br w:type="page"/>
              <w:t>B05、參與教學觀課或跨領域教師教學知能相關研習／工作坊，至少三個學年度平均每年至少1場(若某一年度受評教師懷孕、出國、移地研究等特殊狀況則當年度即可免計)。</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780" w:type="dxa"/>
            <w:vMerge w:val="restart"/>
            <w:tcBorders>
              <w:top w:val="nil"/>
              <w:left w:val="single" w:sz="4" w:space="0" w:color="auto"/>
              <w:right w:val="single" w:sz="4" w:space="0" w:color="auto"/>
            </w:tcBorders>
            <w:shd w:val="clear" w:color="000000" w:fill="FDE9D9"/>
            <w:vAlign w:val="center"/>
          </w:tcPr>
          <w:p w:rsidR="00FA2C4F" w:rsidRPr="00FA2C4F" w:rsidRDefault="00FA2C4F" w:rsidP="001B4130">
            <w:pPr>
              <w:spacing w:line="300" w:lineRule="exact"/>
              <w:jc w:val="center"/>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B1</w:t>
            </w:r>
            <w:r w:rsidRPr="00FA2C4F">
              <w:rPr>
                <w:rFonts w:ascii="標楷體" w:eastAsia="標楷體" w:hAnsi="標楷體" w:cs="新細明體" w:hint="eastAsia"/>
                <w:kern w:val="0"/>
                <w:sz w:val="20"/>
                <w:szCs w:val="20"/>
              </w:rPr>
              <w:br/>
              <w:t>加分項</w:t>
            </w:r>
            <w:r w:rsidRPr="00FA2C4F">
              <w:rPr>
                <w:rFonts w:ascii="標楷體" w:eastAsia="標楷體" w:hAnsi="標楷體" w:cs="新細明體" w:hint="eastAsia"/>
                <w:kern w:val="0"/>
                <w:sz w:val="20"/>
                <w:szCs w:val="20"/>
              </w:rPr>
              <w:lastRenderedPageBreak/>
              <w:t>目</w:t>
            </w:r>
          </w:p>
        </w:tc>
        <w:tc>
          <w:tcPr>
            <w:tcW w:w="520" w:type="dxa"/>
            <w:vMerge w:val="restart"/>
            <w:tcBorders>
              <w:top w:val="nil"/>
              <w:left w:val="single" w:sz="4" w:space="0" w:color="auto"/>
              <w:right w:val="single" w:sz="4" w:space="0" w:color="auto"/>
            </w:tcBorders>
            <w:shd w:val="clear" w:color="000000" w:fill="FDE9D9"/>
            <w:vAlign w:val="center"/>
          </w:tcPr>
          <w:p w:rsidR="00FA2C4F" w:rsidRPr="00FA2C4F" w:rsidRDefault="00FA2C4F" w:rsidP="001B4130">
            <w:pPr>
              <w:spacing w:line="300" w:lineRule="exact"/>
              <w:jc w:val="center"/>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lastRenderedPageBreak/>
              <w:t>B11校</w:t>
            </w:r>
          </w:p>
        </w:tc>
        <w:tc>
          <w:tcPr>
            <w:tcW w:w="8056" w:type="dxa"/>
            <w:tcBorders>
              <w:top w:val="nil"/>
              <w:left w:val="nil"/>
              <w:bottom w:val="single" w:sz="4" w:space="0" w:color="auto"/>
              <w:right w:val="single" w:sz="8" w:space="0" w:color="auto"/>
            </w:tcBorders>
            <w:shd w:val="clear" w:color="000000" w:fill="FDE9D9"/>
            <w:vAlign w:val="center"/>
          </w:tcPr>
          <w:p w:rsidR="00FA2C4F" w:rsidRPr="00FA2C4F" w:rsidRDefault="00FA2C4F" w:rsidP="001B4130">
            <w:pPr>
              <w:tabs>
                <w:tab w:val="left" w:pos="993"/>
              </w:tabs>
              <w:spacing w:line="300" w:lineRule="exact"/>
              <w:rPr>
                <w:rFonts w:ascii="標楷體" w:eastAsia="標楷體" w:hAnsi="標楷體"/>
                <w:sz w:val="20"/>
                <w:szCs w:val="20"/>
              </w:rPr>
            </w:pPr>
            <w:r w:rsidRPr="00FA2C4F">
              <w:rPr>
                <w:rFonts w:ascii="標楷體" w:eastAsia="標楷體" w:hAnsi="標楷體" w:cs="新細明體" w:hint="eastAsia"/>
                <w:kern w:val="0"/>
                <w:sz w:val="20"/>
                <w:szCs w:val="20"/>
              </w:rPr>
              <w:t>B11-1、</w:t>
            </w:r>
            <w:r w:rsidRPr="00FA2C4F">
              <w:rPr>
                <w:rFonts w:ascii="標楷體" w:eastAsia="標楷體" w:hAnsi="標楷體" w:hint="eastAsia"/>
                <w:sz w:val="20"/>
                <w:szCs w:val="20"/>
              </w:rPr>
              <w:t>參與教學觀課或跨領域教師教學知能相關研習/工作坊滿3場後，每增加1場 1分，至多 6 分。</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780" w:type="dxa"/>
            <w:vMerge/>
            <w:tcBorders>
              <w:left w:val="single" w:sz="4" w:space="0" w:color="auto"/>
              <w:right w:val="single" w:sz="4" w:space="0" w:color="auto"/>
            </w:tcBorders>
            <w:shd w:val="clear" w:color="000000" w:fill="FDE9D9"/>
            <w:vAlign w:val="center"/>
            <w:hideMark/>
          </w:tcPr>
          <w:p w:rsidR="00FA2C4F" w:rsidRPr="00FA2C4F" w:rsidRDefault="00FA2C4F" w:rsidP="001B4130">
            <w:pPr>
              <w:widowControl/>
              <w:spacing w:line="300" w:lineRule="exact"/>
              <w:jc w:val="center"/>
              <w:rPr>
                <w:rFonts w:ascii="標楷體" w:eastAsia="標楷體" w:hAnsi="標楷體" w:cs="新細明體"/>
                <w:kern w:val="0"/>
                <w:sz w:val="20"/>
                <w:szCs w:val="20"/>
              </w:rPr>
            </w:pPr>
          </w:p>
        </w:tc>
        <w:tc>
          <w:tcPr>
            <w:tcW w:w="520" w:type="dxa"/>
            <w:vMerge/>
            <w:tcBorders>
              <w:left w:val="single" w:sz="4" w:space="0" w:color="auto"/>
              <w:right w:val="single" w:sz="4" w:space="0" w:color="auto"/>
            </w:tcBorders>
            <w:shd w:val="clear" w:color="000000" w:fill="FDE9D9"/>
            <w:vAlign w:val="center"/>
            <w:hideMark/>
          </w:tcPr>
          <w:p w:rsidR="00FA2C4F" w:rsidRPr="00FA2C4F" w:rsidRDefault="00FA2C4F" w:rsidP="001B4130">
            <w:pPr>
              <w:widowControl/>
              <w:spacing w:line="300" w:lineRule="exact"/>
              <w:jc w:val="center"/>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FDE9D9"/>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B11-2、獲頒教學優良課程， 2 分/每門每次，至多 6 分</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780" w:type="dxa"/>
            <w:vMerge/>
            <w:tcBorders>
              <w:left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520" w:type="dxa"/>
            <w:vMerge/>
            <w:tcBorders>
              <w:left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FDE9D9"/>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B11-3、本校教學績優獎， 10分/次</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780" w:type="dxa"/>
            <w:vMerge/>
            <w:tcBorders>
              <w:left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520" w:type="dxa"/>
            <w:vMerge/>
            <w:tcBorders>
              <w:left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FDE9D9"/>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B11-4、開設通識課程，2分/每門，至多6分</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780" w:type="dxa"/>
            <w:vMerge/>
            <w:tcBorders>
              <w:left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520" w:type="dxa"/>
            <w:vMerge/>
            <w:tcBorders>
              <w:left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FDE9D9"/>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B11-5、開設全英語授課課程， 2 分/每門，至多 6 分</w:t>
            </w:r>
          </w:p>
        </w:tc>
      </w:tr>
      <w:tr w:rsidR="00FA2C4F" w:rsidRPr="000F74FD" w:rsidTr="001B4130">
        <w:trPr>
          <w:trHeight w:val="54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780" w:type="dxa"/>
            <w:vMerge/>
            <w:tcBorders>
              <w:left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520" w:type="dxa"/>
            <w:vMerge/>
            <w:tcBorders>
              <w:left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FDE9D9"/>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B11-6、通過高教深耕創新課程計畫、數位化學習計畫或其他高教深耕教學創新相關計畫， 2 分/門，至多 6 分</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780" w:type="dxa"/>
            <w:vMerge/>
            <w:tcBorders>
              <w:left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520" w:type="dxa"/>
            <w:vMerge/>
            <w:tcBorders>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FDE9D9"/>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B11-7、通過教育部教學實踐研究計畫， 10 分/件</w:t>
            </w:r>
          </w:p>
        </w:tc>
      </w:tr>
      <w:tr w:rsidR="00FA2C4F" w:rsidRPr="000F74FD" w:rsidTr="001B4130">
        <w:trPr>
          <w:trHeight w:val="81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780" w:type="dxa"/>
            <w:vMerge/>
            <w:tcBorders>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520" w:type="dxa"/>
            <w:tcBorders>
              <w:top w:val="nil"/>
              <w:left w:val="nil"/>
              <w:bottom w:val="single" w:sz="4" w:space="0" w:color="auto"/>
              <w:right w:val="single" w:sz="4" w:space="0" w:color="auto"/>
            </w:tcBorders>
            <w:shd w:val="clear" w:color="000000" w:fill="FDE9D9"/>
            <w:vAlign w:val="center"/>
            <w:hideMark/>
          </w:tcPr>
          <w:p w:rsidR="00FA2C4F" w:rsidRPr="00FA2C4F" w:rsidRDefault="00FA2C4F" w:rsidP="001B4130">
            <w:pPr>
              <w:widowControl/>
              <w:spacing w:line="300" w:lineRule="exact"/>
              <w:jc w:val="center"/>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B12院</w:t>
            </w:r>
          </w:p>
        </w:tc>
        <w:tc>
          <w:tcPr>
            <w:tcW w:w="8056" w:type="dxa"/>
            <w:tcBorders>
              <w:top w:val="nil"/>
              <w:left w:val="nil"/>
              <w:bottom w:val="single" w:sz="4" w:space="0" w:color="auto"/>
              <w:right w:val="single" w:sz="8" w:space="0" w:color="auto"/>
            </w:tcBorders>
            <w:shd w:val="clear" w:color="000000" w:fill="FDE9D9"/>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B12合計至多4分</w:t>
            </w:r>
            <w:r w:rsidRPr="00FA2C4F">
              <w:rPr>
                <w:rFonts w:ascii="標楷體" w:eastAsia="標楷體" w:hAnsi="標楷體" w:cs="新細明體" w:hint="eastAsia"/>
                <w:kern w:val="0"/>
                <w:sz w:val="20"/>
                <w:szCs w:val="20"/>
              </w:rPr>
              <w:br/>
              <w:t>B12-1、配合本院開設核心課程，2 分/每門每次。</w:t>
            </w:r>
            <w:r w:rsidRPr="00FA2C4F">
              <w:rPr>
                <w:rFonts w:ascii="標楷體" w:eastAsia="標楷體" w:hAnsi="標楷體" w:cs="新細明體" w:hint="eastAsia"/>
                <w:kern w:val="0"/>
                <w:sz w:val="20"/>
                <w:szCs w:val="20"/>
              </w:rPr>
              <w:br/>
              <w:t>B12-2、配合AoL規劃教師課程施作Rubics量測，每門課給 1 分。</w:t>
            </w:r>
          </w:p>
        </w:tc>
      </w:tr>
      <w:tr w:rsidR="00FA2C4F" w:rsidRPr="000F74FD" w:rsidTr="001B4130">
        <w:trPr>
          <w:trHeight w:val="28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9356" w:type="dxa"/>
            <w:gridSpan w:val="3"/>
            <w:tcBorders>
              <w:top w:val="single" w:sz="4" w:space="0" w:color="auto"/>
              <w:left w:val="nil"/>
              <w:bottom w:val="single" w:sz="8" w:space="0" w:color="auto"/>
              <w:right w:val="single" w:sz="8" w:space="0" w:color="000000"/>
            </w:tcBorders>
            <w:shd w:val="clear" w:color="000000" w:fill="FFFF00"/>
            <w:vAlign w:val="center"/>
            <w:hideMark/>
          </w:tcPr>
          <w:p w:rsidR="00FA2C4F" w:rsidRPr="00FA2C4F" w:rsidRDefault="00FA2C4F" w:rsidP="001B4130">
            <w:pPr>
              <w:widowControl/>
              <w:spacing w:line="300" w:lineRule="exact"/>
              <w:jc w:val="right"/>
              <w:rPr>
                <w:rFonts w:ascii="標楷體" w:eastAsia="標楷體" w:hAnsi="標楷體" w:cs="新細明體"/>
                <w:bCs/>
                <w:kern w:val="0"/>
                <w:sz w:val="20"/>
                <w:szCs w:val="20"/>
              </w:rPr>
            </w:pPr>
            <w:r w:rsidRPr="00FA2C4F">
              <w:rPr>
                <w:rFonts w:ascii="標楷體" w:eastAsia="標楷體" w:hAnsi="標楷體" w:cs="新細明體" w:hint="eastAsia"/>
                <w:bCs/>
                <w:kern w:val="0"/>
                <w:sz w:val="20"/>
                <w:szCs w:val="20"/>
              </w:rPr>
              <w:t>教學(至多100分)小計</w:t>
            </w:r>
          </w:p>
        </w:tc>
      </w:tr>
      <w:tr w:rsidR="00FA2C4F" w:rsidRPr="000F74FD" w:rsidTr="001B4130">
        <w:trPr>
          <w:trHeight w:val="270"/>
        </w:trPr>
        <w:tc>
          <w:tcPr>
            <w:tcW w:w="557" w:type="dxa"/>
            <w:vMerge w:val="restart"/>
            <w:tcBorders>
              <w:top w:val="nil"/>
              <w:left w:val="single" w:sz="8" w:space="0" w:color="auto"/>
              <w:bottom w:val="single" w:sz="8" w:space="0" w:color="000000"/>
              <w:right w:val="single" w:sz="4" w:space="0" w:color="auto"/>
            </w:tcBorders>
            <w:shd w:val="clear" w:color="auto" w:fill="auto"/>
            <w:vAlign w:val="center"/>
            <w:hideMark/>
          </w:tcPr>
          <w:p w:rsidR="00FA2C4F" w:rsidRPr="00FA2C4F" w:rsidRDefault="00FA2C4F" w:rsidP="001B4130">
            <w:pPr>
              <w:widowControl/>
              <w:spacing w:line="300" w:lineRule="exact"/>
              <w:jc w:val="center"/>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C.</w:t>
            </w:r>
            <w:r w:rsidRPr="00FA2C4F">
              <w:rPr>
                <w:rFonts w:ascii="標楷體" w:eastAsia="標楷體" w:hAnsi="標楷體" w:cs="新細明體" w:hint="eastAsia"/>
                <w:kern w:val="0"/>
                <w:sz w:val="20"/>
                <w:szCs w:val="20"/>
              </w:rPr>
              <w:br/>
              <w:t xml:space="preserve"> 輔導及服務  (參考</w:t>
            </w:r>
            <w:r w:rsidRPr="00FA2C4F">
              <w:rPr>
                <w:rFonts w:ascii="標楷體" w:eastAsia="標楷體" w:hAnsi="標楷體" w:cs="新細明體" w:hint="eastAsia"/>
                <w:bCs/>
                <w:kern w:val="0"/>
                <w:sz w:val="20"/>
                <w:szCs w:val="20"/>
              </w:rPr>
              <w:t>教師評鑑指標</w:t>
            </w:r>
            <w:r w:rsidRPr="00FA2C4F">
              <w:rPr>
                <w:rFonts w:ascii="標楷體" w:eastAsia="標楷體" w:hAnsi="標楷體" w:cs="新細明體" w:hint="eastAsia"/>
                <w:kern w:val="0"/>
                <w:sz w:val="20"/>
                <w:szCs w:val="20"/>
              </w:rPr>
              <w:t>)</w:t>
            </w:r>
          </w:p>
        </w:tc>
        <w:tc>
          <w:tcPr>
            <w:tcW w:w="1300" w:type="dxa"/>
            <w:gridSpan w:val="2"/>
            <w:vMerge w:val="restart"/>
            <w:tcBorders>
              <w:top w:val="single" w:sz="8" w:space="0" w:color="auto"/>
              <w:left w:val="single" w:sz="4" w:space="0" w:color="auto"/>
              <w:bottom w:val="single" w:sz="4" w:space="0" w:color="auto"/>
              <w:right w:val="single" w:sz="4" w:space="0" w:color="auto"/>
            </w:tcBorders>
            <w:shd w:val="clear" w:color="000000" w:fill="DCE6F1"/>
            <w:vAlign w:val="center"/>
            <w:hideMark/>
          </w:tcPr>
          <w:p w:rsidR="00FA2C4F" w:rsidRPr="00FA2C4F" w:rsidRDefault="00FA2C4F" w:rsidP="001B4130">
            <w:pPr>
              <w:widowControl/>
              <w:spacing w:line="300" w:lineRule="exact"/>
              <w:jc w:val="center"/>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C1榮譽</w:t>
            </w:r>
          </w:p>
        </w:tc>
        <w:tc>
          <w:tcPr>
            <w:tcW w:w="8056" w:type="dxa"/>
            <w:tcBorders>
              <w:top w:val="nil"/>
              <w:left w:val="nil"/>
              <w:bottom w:val="single" w:sz="4" w:space="0" w:color="auto"/>
              <w:right w:val="single" w:sz="8" w:space="0" w:color="auto"/>
            </w:tcBorders>
            <w:shd w:val="clear" w:color="000000" w:fill="DCE6F1"/>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C11、本校優良導師 10分/次</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8"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CE6F1"/>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C12、院優良導師  6分/次</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8"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CE6F1"/>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C13、系所推薦之優良導師 3分/次</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8"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CE6F1"/>
            <w:vAlign w:val="center"/>
            <w:hideMark/>
          </w:tcPr>
          <w:p w:rsidR="00FA2C4F" w:rsidRPr="00FA2C4F" w:rsidRDefault="00FA2C4F" w:rsidP="001B4130">
            <w:pPr>
              <w:widowControl/>
              <w:spacing w:line="300" w:lineRule="exact"/>
              <w:jc w:val="right"/>
              <w:rPr>
                <w:rFonts w:ascii="標楷體" w:eastAsia="標楷體" w:hAnsi="標楷體" w:cs="新細明體"/>
                <w:bCs/>
                <w:kern w:val="0"/>
                <w:sz w:val="20"/>
                <w:szCs w:val="20"/>
              </w:rPr>
            </w:pPr>
            <w:r w:rsidRPr="00FA2C4F">
              <w:rPr>
                <w:rFonts w:ascii="標楷體" w:eastAsia="標楷體" w:hAnsi="標楷體" w:cs="新細明體" w:hint="eastAsia"/>
                <w:bCs/>
                <w:kern w:val="0"/>
                <w:sz w:val="20"/>
                <w:szCs w:val="20"/>
              </w:rPr>
              <w:t>C1(至多10分) 小計</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000000" w:fill="B8CCE4"/>
            <w:vAlign w:val="center"/>
            <w:hideMark/>
          </w:tcPr>
          <w:p w:rsidR="00FA2C4F" w:rsidRPr="00FA2C4F" w:rsidRDefault="00FA2C4F" w:rsidP="001B4130">
            <w:pPr>
              <w:widowControl/>
              <w:spacing w:line="300" w:lineRule="exact"/>
              <w:jc w:val="center"/>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C21校內輔導及服務</w:t>
            </w:r>
          </w:p>
        </w:tc>
        <w:tc>
          <w:tcPr>
            <w:tcW w:w="8056" w:type="dxa"/>
            <w:tcBorders>
              <w:top w:val="nil"/>
              <w:left w:val="nil"/>
              <w:bottom w:val="single" w:sz="4" w:space="0" w:color="auto"/>
              <w:right w:val="single" w:sz="8" w:space="0" w:color="auto"/>
            </w:tcBorders>
            <w:shd w:val="clear" w:color="000000" w:fill="B8CCE4"/>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C21-1、擔任導師  5 分/學年</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B8CCE4"/>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C21-2、 一、二級單位主管工作  15 分/學期</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B8CCE4"/>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C21-3 、校、院、系所會議委員會 2 分/學期</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B8CCE4"/>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C21-4、 招生宣導  5 分/次</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B8CCE4"/>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C21-5、本校辦理考試之監考  2 分/次</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B8CCE4"/>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C21-6、 擔任學生活動指導  3 分/次</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B8CCE4"/>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C21-7、本校績優社團指導老師  10 分/次</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B8CCE4"/>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C21-8、擔任學生社團指導老師   3 分/次</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B8CCE4"/>
            <w:vAlign w:val="center"/>
            <w:hideMark/>
          </w:tcPr>
          <w:p w:rsidR="00FA2C4F" w:rsidRPr="00FA2C4F" w:rsidRDefault="00FA2C4F" w:rsidP="001B4130">
            <w:pPr>
              <w:widowControl/>
              <w:spacing w:line="300" w:lineRule="exact"/>
              <w:jc w:val="right"/>
              <w:rPr>
                <w:rFonts w:ascii="標楷體" w:eastAsia="標楷體" w:hAnsi="標楷體" w:cs="新細明體"/>
                <w:bCs/>
                <w:kern w:val="0"/>
                <w:sz w:val="20"/>
                <w:szCs w:val="20"/>
              </w:rPr>
            </w:pPr>
            <w:r w:rsidRPr="00FA2C4F">
              <w:rPr>
                <w:rFonts w:ascii="標楷體" w:eastAsia="標楷體" w:hAnsi="標楷體" w:cs="新細明體" w:hint="eastAsia"/>
                <w:bCs/>
                <w:kern w:val="0"/>
                <w:sz w:val="20"/>
                <w:szCs w:val="20"/>
              </w:rPr>
              <w:t>C21(至多40分)小計</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FA2C4F" w:rsidRPr="00FA2C4F" w:rsidRDefault="00FA2C4F" w:rsidP="001B4130">
            <w:pPr>
              <w:widowControl/>
              <w:spacing w:line="300" w:lineRule="exact"/>
              <w:jc w:val="center"/>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C22院、系所服務</w:t>
            </w:r>
          </w:p>
        </w:tc>
        <w:tc>
          <w:tcPr>
            <w:tcW w:w="8056" w:type="dxa"/>
            <w:tcBorders>
              <w:top w:val="nil"/>
              <w:left w:val="nil"/>
              <w:bottom w:val="single" w:sz="4" w:space="0" w:color="auto"/>
              <w:right w:val="single" w:sz="8" w:space="0" w:color="auto"/>
            </w:tcBorders>
            <w:shd w:val="clear" w:color="000000" w:fill="DCE6F1"/>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C22-1、擔任院非編制內主管 10 分 /學期、非主管職務 5 分/學期</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CE6F1"/>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C22-2、編輯院、系所刋物、簡介  5 分/次</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CE6F1"/>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C22-3、招生命題 各項甄試委員或閱卷  4 分/次</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CE6F1"/>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C22-4、協助院、系所辦理重要學術會議  5分/次</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CE6F1"/>
            <w:noWrap/>
            <w:vAlign w:val="bottom"/>
            <w:hideMark/>
          </w:tcPr>
          <w:p w:rsidR="00FA2C4F" w:rsidRPr="00FA2C4F" w:rsidRDefault="00FA2C4F" w:rsidP="001B4130">
            <w:pPr>
              <w:widowControl/>
              <w:spacing w:line="300" w:lineRule="exact"/>
              <w:jc w:val="right"/>
              <w:rPr>
                <w:rFonts w:ascii="標楷體" w:eastAsia="標楷體" w:hAnsi="標楷體" w:cs="Times New Roman"/>
                <w:bCs/>
                <w:kern w:val="0"/>
                <w:sz w:val="20"/>
                <w:szCs w:val="20"/>
              </w:rPr>
            </w:pPr>
            <w:r w:rsidRPr="00FA2C4F">
              <w:rPr>
                <w:rFonts w:ascii="標楷體" w:eastAsia="標楷體" w:hAnsi="標楷體" w:cs="Times New Roman"/>
                <w:bCs/>
                <w:kern w:val="0"/>
                <w:sz w:val="20"/>
                <w:szCs w:val="20"/>
              </w:rPr>
              <w:t>C22(</w:t>
            </w:r>
            <w:r w:rsidRPr="00FA2C4F">
              <w:rPr>
                <w:rFonts w:ascii="標楷體" w:eastAsia="標楷體" w:hAnsi="標楷體" w:cs="Times New Roman" w:hint="eastAsia"/>
                <w:bCs/>
                <w:kern w:val="0"/>
                <w:sz w:val="20"/>
                <w:szCs w:val="20"/>
              </w:rPr>
              <w:t>至多</w:t>
            </w:r>
            <w:r w:rsidRPr="00FA2C4F">
              <w:rPr>
                <w:rFonts w:ascii="標楷體" w:eastAsia="標楷體" w:hAnsi="標楷體" w:cs="Times New Roman"/>
                <w:bCs/>
                <w:kern w:val="0"/>
                <w:sz w:val="20"/>
                <w:szCs w:val="20"/>
              </w:rPr>
              <w:t>40</w:t>
            </w:r>
            <w:r w:rsidRPr="00FA2C4F">
              <w:rPr>
                <w:rFonts w:ascii="標楷體" w:eastAsia="標楷體" w:hAnsi="標楷體" w:cs="Times New Roman" w:hint="eastAsia"/>
                <w:bCs/>
                <w:kern w:val="0"/>
                <w:sz w:val="20"/>
                <w:szCs w:val="20"/>
              </w:rPr>
              <w:t>分</w:t>
            </w:r>
            <w:r w:rsidRPr="00FA2C4F">
              <w:rPr>
                <w:rFonts w:ascii="標楷體" w:eastAsia="標楷體" w:hAnsi="標楷體" w:cs="Times New Roman"/>
                <w:bCs/>
                <w:kern w:val="0"/>
                <w:sz w:val="20"/>
                <w:szCs w:val="20"/>
              </w:rPr>
              <w:t>)</w:t>
            </w:r>
            <w:r w:rsidRPr="00FA2C4F">
              <w:rPr>
                <w:rFonts w:ascii="標楷體" w:eastAsia="標楷體" w:hAnsi="標楷體" w:cs="Times New Roman" w:hint="eastAsia"/>
                <w:bCs/>
                <w:kern w:val="0"/>
                <w:sz w:val="20"/>
                <w:szCs w:val="20"/>
              </w:rPr>
              <w:t>小計</w:t>
            </w:r>
          </w:p>
        </w:tc>
      </w:tr>
      <w:tr w:rsidR="00FA2C4F" w:rsidRPr="000F74FD" w:rsidTr="001B4130">
        <w:trPr>
          <w:trHeight w:val="27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8056" w:type="dxa"/>
            <w:tcBorders>
              <w:top w:val="nil"/>
              <w:left w:val="nil"/>
              <w:bottom w:val="single" w:sz="4" w:space="0" w:color="auto"/>
              <w:right w:val="single" w:sz="8" w:space="0" w:color="auto"/>
            </w:tcBorders>
            <w:shd w:val="clear" w:color="000000" w:fill="DCE6F1"/>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r w:rsidRPr="00FA2C4F">
              <w:rPr>
                <w:rFonts w:ascii="標楷體" w:eastAsia="標楷體" w:hAnsi="標楷體" w:cs="新細明體" w:hint="eastAsia"/>
                <w:kern w:val="0"/>
                <w:sz w:val="20"/>
                <w:szCs w:val="20"/>
              </w:rPr>
              <w:t xml:space="preserve">其他重要服務 </w:t>
            </w:r>
            <w:r w:rsidRPr="00FA2C4F">
              <w:rPr>
                <w:rFonts w:ascii="標楷體" w:eastAsia="標楷體" w:hAnsi="標楷體" w:cs="新細明體" w:hint="eastAsia"/>
                <w:bCs/>
                <w:kern w:val="0"/>
                <w:sz w:val="20"/>
                <w:szCs w:val="20"/>
                <w:u w:val="single"/>
              </w:rPr>
              <w:t xml:space="preserve"> 至多10 </w:t>
            </w:r>
            <w:r w:rsidRPr="00FA2C4F">
              <w:rPr>
                <w:rFonts w:ascii="標楷體" w:eastAsia="標楷體" w:hAnsi="標楷體" w:cs="新細明體" w:hint="eastAsia"/>
                <w:kern w:val="0"/>
                <w:sz w:val="20"/>
                <w:szCs w:val="20"/>
              </w:rPr>
              <w:t>分(由系複核，院教評評分)</w:t>
            </w:r>
          </w:p>
        </w:tc>
      </w:tr>
      <w:tr w:rsidR="00FA2C4F" w:rsidRPr="000F74FD" w:rsidTr="001B4130">
        <w:trPr>
          <w:trHeight w:val="280"/>
        </w:trPr>
        <w:tc>
          <w:tcPr>
            <w:tcW w:w="557" w:type="dxa"/>
            <w:vMerge/>
            <w:tcBorders>
              <w:top w:val="nil"/>
              <w:left w:val="single" w:sz="8" w:space="0" w:color="auto"/>
              <w:bottom w:val="single" w:sz="8" w:space="0" w:color="000000"/>
              <w:right w:val="single" w:sz="4" w:space="0" w:color="auto"/>
            </w:tcBorders>
            <w:vAlign w:val="center"/>
            <w:hideMark/>
          </w:tcPr>
          <w:p w:rsidR="00FA2C4F" w:rsidRPr="00FA2C4F" w:rsidRDefault="00FA2C4F" w:rsidP="001B4130">
            <w:pPr>
              <w:widowControl/>
              <w:spacing w:line="300" w:lineRule="exact"/>
              <w:rPr>
                <w:rFonts w:ascii="標楷體" w:eastAsia="標楷體" w:hAnsi="標楷體" w:cs="新細明體"/>
                <w:kern w:val="0"/>
                <w:sz w:val="20"/>
                <w:szCs w:val="20"/>
              </w:rPr>
            </w:pPr>
          </w:p>
        </w:tc>
        <w:tc>
          <w:tcPr>
            <w:tcW w:w="9356" w:type="dxa"/>
            <w:gridSpan w:val="3"/>
            <w:tcBorders>
              <w:top w:val="single" w:sz="4" w:space="0" w:color="auto"/>
              <w:left w:val="nil"/>
              <w:bottom w:val="single" w:sz="8" w:space="0" w:color="auto"/>
              <w:right w:val="single" w:sz="8" w:space="0" w:color="000000"/>
            </w:tcBorders>
            <w:shd w:val="clear" w:color="000000" w:fill="FFFF00"/>
            <w:vAlign w:val="center"/>
            <w:hideMark/>
          </w:tcPr>
          <w:p w:rsidR="00FA2C4F" w:rsidRPr="00FA2C4F" w:rsidRDefault="00FA2C4F" w:rsidP="001B4130">
            <w:pPr>
              <w:widowControl/>
              <w:spacing w:line="300" w:lineRule="exact"/>
              <w:jc w:val="right"/>
              <w:rPr>
                <w:rFonts w:ascii="標楷體" w:eastAsia="標楷體" w:hAnsi="標楷體" w:cs="新細明體"/>
                <w:bCs/>
                <w:kern w:val="0"/>
                <w:sz w:val="20"/>
                <w:szCs w:val="20"/>
              </w:rPr>
            </w:pPr>
            <w:r w:rsidRPr="00FA2C4F">
              <w:rPr>
                <w:rFonts w:ascii="標楷體" w:eastAsia="標楷體" w:hAnsi="標楷體" w:cs="新細明體" w:hint="eastAsia"/>
                <w:bCs/>
                <w:kern w:val="0"/>
                <w:sz w:val="20"/>
                <w:szCs w:val="20"/>
              </w:rPr>
              <w:t>服務小計</w:t>
            </w:r>
          </w:p>
        </w:tc>
      </w:tr>
    </w:tbl>
    <w:p w:rsidR="00FA2C4F" w:rsidRPr="009410DA" w:rsidRDefault="00FA2C4F" w:rsidP="00FA2C4F">
      <w:pPr>
        <w:widowControl/>
        <w:rPr>
          <w:rFonts w:ascii="標楷體" w:eastAsia="標楷體" w:cs="標楷體"/>
          <w:kern w:val="0"/>
          <w:szCs w:val="24"/>
        </w:rPr>
      </w:pPr>
      <w:r w:rsidRPr="009410DA">
        <w:rPr>
          <w:rFonts w:ascii="標楷體" w:eastAsia="標楷體" w:cs="標楷體" w:hint="eastAsia"/>
          <w:kern w:val="0"/>
          <w:szCs w:val="24"/>
        </w:rPr>
        <w:t>註1：所稱頂尖期刊為</w:t>
      </w:r>
      <w:r>
        <w:rPr>
          <w:rFonts w:ascii="標楷體" w:eastAsia="標楷體" w:cs="標楷體" w:hint="eastAsia"/>
          <w:kern w:val="0"/>
          <w:szCs w:val="24"/>
        </w:rPr>
        <w:t>管理學院</w:t>
      </w:r>
      <w:r w:rsidRPr="009410DA">
        <w:rPr>
          <w:rFonts w:ascii="標楷體" w:eastAsia="標楷體" w:hAnsi="標楷體"/>
          <w:szCs w:val="24"/>
        </w:rPr>
        <w:t>學術研究績優教師</w:t>
      </w:r>
      <w:r w:rsidRPr="009410DA">
        <w:rPr>
          <w:rFonts w:ascii="標楷體" w:eastAsia="標楷體" w:hAnsi="標楷體" w:hint="eastAsia"/>
          <w:szCs w:val="24"/>
        </w:rPr>
        <w:t>審查要點所列期刊。</w:t>
      </w:r>
    </w:p>
    <w:p w:rsidR="00295066" w:rsidRPr="00FA2C4F" w:rsidRDefault="004458EB"/>
    <w:sectPr w:rsidR="00295066" w:rsidRPr="00FA2C4F" w:rsidSect="00FA2C4F">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8EB" w:rsidRDefault="004458EB" w:rsidP="000C731B">
      <w:r>
        <w:separator/>
      </w:r>
    </w:p>
  </w:endnote>
  <w:endnote w:type="continuationSeparator" w:id="0">
    <w:p w:rsidR="004458EB" w:rsidRDefault="004458EB" w:rsidP="000C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8EB" w:rsidRDefault="004458EB" w:rsidP="000C731B">
      <w:r>
        <w:separator/>
      </w:r>
    </w:p>
  </w:footnote>
  <w:footnote w:type="continuationSeparator" w:id="0">
    <w:p w:rsidR="004458EB" w:rsidRDefault="004458EB" w:rsidP="000C7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4F"/>
    <w:rsid w:val="000C731B"/>
    <w:rsid w:val="000F4458"/>
    <w:rsid w:val="004458EB"/>
    <w:rsid w:val="005A2E25"/>
    <w:rsid w:val="00B11B28"/>
    <w:rsid w:val="00C66A30"/>
    <w:rsid w:val="00F1359E"/>
    <w:rsid w:val="00FA2C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CD769B-FAEC-4DC4-BDF9-C3AB6F59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C4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2C4F"/>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FA2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11B2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11B28"/>
    <w:rPr>
      <w:rFonts w:asciiTheme="majorHAnsi" w:eastAsiaTheme="majorEastAsia" w:hAnsiTheme="majorHAnsi" w:cstheme="majorBidi"/>
      <w:sz w:val="18"/>
      <w:szCs w:val="18"/>
    </w:rPr>
  </w:style>
  <w:style w:type="paragraph" w:styleId="a6">
    <w:name w:val="header"/>
    <w:basedOn w:val="a"/>
    <w:link w:val="a7"/>
    <w:uiPriority w:val="99"/>
    <w:unhideWhenUsed/>
    <w:rsid w:val="000C731B"/>
    <w:pPr>
      <w:tabs>
        <w:tab w:val="center" w:pos="4153"/>
        <w:tab w:val="right" w:pos="8306"/>
      </w:tabs>
      <w:snapToGrid w:val="0"/>
    </w:pPr>
    <w:rPr>
      <w:sz w:val="20"/>
      <w:szCs w:val="20"/>
    </w:rPr>
  </w:style>
  <w:style w:type="character" w:customStyle="1" w:styleId="a7">
    <w:name w:val="頁首 字元"/>
    <w:basedOn w:val="a0"/>
    <w:link w:val="a6"/>
    <w:uiPriority w:val="99"/>
    <w:rsid w:val="000C731B"/>
    <w:rPr>
      <w:sz w:val="20"/>
      <w:szCs w:val="20"/>
    </w:rPr>
  </w:style>
  <w:style w:type="paragraph" w:styleId="a8">
    <w:name w:val="footer"/>
    <w:basedOn w:val="a"/>
    <w:link w:val="a9"/>
    <w:uiPriority w:val="99"/>
    <w:unhideWhenUsed/>
    <w:rsid w:val="000C731B"/>
    <w:pPr>
      <w:tabs>
        <w:tab w:val="center" w:pos="4153"/>
        <w:tab w:val="right" w:pos="8306"/>
      </w:tabs>
      <w:snapToGrid w:val="0"/>
    </w:pPr>
    <w:rPr>
      <w:sz w:val="20"/>
      <w:szCs w:val="20"/>
    </w:rPr>
  </w:style>
  <w:style w:type="character" w:customStyle="1" w:styleId="a9">
    <w:name w:val="頁尾 字元"/>
    <w:basedOn w:val="a0"/>
    <w:link w:val="a8"/>
    <w:uiPriority w:val="99"/>
    <w:rsid w:val="000C731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管院秘書</dc:creator>
  <cp:keywords/>
  <dc:description/>
  <cp:lastModifiedBy>管院秘書</cp:lastModifiedBy>
  <cp:revision>2</cp:revision>
  <cp:lastPrinted>2020-06-30T02:11:00Z</cp:lastPrinted>
  <dcterms:created xsi:type="dcterms:W3CDTF">2020-06-30T02:14:00Z</dcterms:created>
  <dcterms:modified xsi:type="dcterms:W3CDTF">2020-06-30T02:14:00Z</dcterms:modified>
</cp:coreProperties>
</file>